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</w:pPr>
      <w:r>
        <w:rPr>
          <w:sz w:val="20"/>
          <w:b w:val="on"/>
        </w:rPr>
        <w:t xml:space="preserve">Название документа</w:t>
      </w:r>
    </w:p>
    <w:p>
      <w:pPr>
        <w:pStyle w:val="0"/>
        <w:jc w:val="both"/>
      </w:pPr>
      <w:r>
        <w:rPr>
          <w:sz w:val="20"/>
        </w:rPr>
        <w:t xml:space="preserve">Постановление Министерства ТЭК и ЖКХ АО от 02.03.2016 N 5-п</w:t>
      </w:r>
    </w:p>
    <w:p>
      <w:pPr>
        <w:pStyle w:val="0"/>
        <w:jc w:val="both"/>
      </w:pPr>
      <w:r>
        <w:rPr>
          <w:sz w:val="20"/>
        </w:rPr>
        <w:t xml:space="preserve">"Об утверждении порядка передачи документов и информации, связанной с формированием фонда капитального ремонта многоквартирных домов, при изменении способа формирования фонда капитального ремонта"</w:t>
      </w:r>
    </w:p>
    <w:p>
      <w:pPr>
        <w:pStyle w:val="0"/>
      </w:pPr>
      <w:r>
        <w:rPr>
          <w:sz w:val="20"/>
          <w:b w:val="on"/>
        </w:rPr>
        <w:t xml:space="preserve">Источник публикации</w:t>
      </w:r>
    </w:p>
    <w:p>
      <w:pPr>
        <w:pStyle w:val="0"/>
        <w:jc w:val="both"/>
      </w:pPr>
      <w:r>
        <w:rPr>
          <w:sz w:val="20"/>
        </w:rPr>
        <w:t xml:space="preserve">Официальный интернет-портал Администрации Архангельской области </w:t>
      </w:r>
      <w:r>
        <w:rPr>
          <w:sz w:val="20"/>
        </w:rPr>
        <w:t xml:space="preserve">http://www.dvinaland.ru</w:t>
      </w:r>
      <w:r>
        <w:rPr>
          <w:sz w:val="20"/>
        </w:rPr>
        <w:t xml:space="preserve">, 04.03.2016</w:t>
      </w:r>
    </w:p>
    <w:p>
      <w:pPr>
        <w:pStyle w:val="0"/>
      </w:pPr>
      <w:r>
        <w:rPr>
          <w:sz w:val="20"/>
          <w:b w:val="on"/>
        </w:rPr>
        <w:t xml:space="preserve">Примечание к документу</w:t>
      </w:r>
    </w:p>
    <w:p>
      <w:pPr>
        <w:pStyle w:val="0"/>
        <w:jc w:val="both"/>
      </w:pPr>
      <w:r>
        <w:rPr>
          <w:sz w:val="20"/>
        </w:rPr>
        <w:t xml:space="preserve">Начало действия документа - 04.03.2016.</w:t>
      </w:r>
    </w:p>
    <w:p>
      <w:pPr>
        <w:pStyle w:val="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пунктом 2</w:t>
      </w:r>
      <w:r>
        <w:rPr>
          <w:sz w:val="20"/>
        </w:rPr>
        <w:t xml:space="preserve"> данный документ вступил в силу со дня официального опубликования (опубликован на официальном интернет-портале правовой информации </w:t>
      </w:r>
      <w:r>
        <w:rPr>
          <w:sz w:val="20"/>
        </w:rPr>
        <w:t xml:space="preserve">http://www.pravo.gov.ru</w:t>
      </w:r>
      <w:r>
        <w:rPr>
          <w:sz w:val="20"/>
        </w:rPr>
        <w:t xml:space="preserve"> - 04.03.2016).</w:t>
      </w:r>
    </w:p>
    <w:p>
      <w:pPr>
        <w:pStyle w:val="0"/>
        <w:spacing w:before="200" w:lineRule="auto"/>
      </w:pPr>
      <w:r>
        <w:rPr>
          <w:sz w:val="20"/>
          <w:b w:val="on"/>
        </w:rPr>
        <w:t xml:space="preserve">Текст документа</w:t>
      </w:r>
    </w:p>
    <w:p>
      <w:pPr>
        <w:pStyle w:val="0"/>
        <w:outlineLvl w:val="0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АРХАНГЕЛЬСКОЙ ОБЛАСТИ</w:t>
      </w:r>
    </w:p>
    <w:p>
      <w:pPr>
        <w:pStyle w:val="2"/>
        <w:jc w:val="center"/>
      </w:pPr>
      <w:r>
        <w:rPr>
          <w:sz w:val="20"/>
        </w:rPr>
        <w:t xml:space="preserve">МИНИСТЕРСТВО ТОПЛИВНО-ЭНЕРГЕТИЧЕСКОГО КОМПЛЕКСА</w:t>
      </w:r>
    </w:p>
    <w:p>
      <w:pPr>
        <w:pStyle w:val="2"/>
        <w:jc w:val="center"/>
      </w:pPr>
      <w:r>
        <w:rPr>
          <w:sz w:val="20"/>
        </w:rPr>
        <w:t xml:space="preserve">И ЖИЛИЩНО-КОММУНАЛЬНОГО ХОЗЯЙСТВА АРХАНГЕЛЬСКОЙ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 марта 2016 г. N 5-п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ПОРЯДКА ПЕРЕДАЧИ ДОКУМЕНТОВ И ИНФОРМАЦИИ,</w:t>
      </w:r>
    </w:p>
    <w:p>
      <w:pPr>
        <w:pStyle w:val="2"/>
        <w:jc w:val="center"/>
      </w:pPr>
      <w:r>
        <w:rPr>
          <w:sz w:val="20"/>
        </w:rPr>
        <w:t xml:space="preserve">СВЯЗАННОЙ С ФОРМИРОВАНИЕМ ФОНДА КАПИТАЛЬНОГО РЕМОНТА</w:t>
      </w:r>
    </w:p>
    <w:p>
      <w:pPr>
        <w:pStyle w:val="2"/>
        <w:jc w:val="center"/>
      </w:pPr>
      <w:r>
        <w:rPr>
          <w:sz w:val="20"/>
        </w:rPr>
        <w:t xml:space="preserve">МНОГОКВАРТИРНЫХ ДОМОВ, ПРИ ИЗМЕНЕНИИ СПОСОБА ФОРМИРОВАНИЯ</w:t>
      </w:r>
    </w:p>
    <w:p>
      <w:pPr>
        <w:pStyle w:val="2"/>
        <w:jc w:val="center"/>
      </w:pPr>
      <w:r>
        <w:rPr>
          <w:sz w:val="20"/>
        </w:rPr>
        <w:t xml:space="preserve">ФОНДА КАПИТАЛЬНОГО РЕМОНТА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r>
        <w:rPr>
          <w:sz w:val="20"/>
        </w:rPr>
        <w:t xml:space="preserve">частью 7 статьи 173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подпунктом 18 пункта 1 статьи 6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 министерство топливно-энергетического комплекса и жилищно-коммунального хозяйства Архангельской области постановляет: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прилагаемый </w:t>
      </w:r>
      <w:r>
        <w:rPr>
          <w:sz w:val="20"/>
        </w:rPr>
        <w:t xml:space="preserve">порядок</w:t>
      </w:r>
      <w:r>
        <w:rPr>
          <w:sz w:val="20"/>
        </w:rPr>
        <w:t xml:space="preserve"> передачи документов и информации, связанной с формированием фонда капитального ремонта многоквартирных домов, при изменении способа формирования фонда капитального ремонта.</w:t>
      </w:r>
    </w:p>
    <w:bookmarkStart w:id="24" w:name="P24"/>
    <w:bookmarkEnd w:id="2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А.П.ПОТАШЕВ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постановлением министерства</w:t>
      </w:r>
    </w:p>
    <w:p>
      <w:pPr>
        <w:pStyle w:val="0"/>
        <w:jc w:val="right"/>
      </w:pPr>
      <w:r>
        <w:rPr>
          <w:sz w:val="20"/>
        </w:rPr>
        <w:t xml:space="preserve">топливно-энергетического комплекса</w:t>
      </w:r>
    </w:p>
    <w:p>
      <w:pPr>
        <w:pStyle w:val="0"/>
        <w:jc w:val="right"/>
      </w:pPr>
      <w:r>
        <w:rPr>
          <w:sz w:val="20"/>
        </w:rPr>
        <w:t xml:space="preserve">и жилищно-коммунального хозяйства</w:t>
      </w:r>
    </w:p>
    <w:p>
      <w:pPr>
        <w:pStyle w:val="0"/>
        <w:jc w:val="right"/>
      </w:pPr>
      <w:r>
        <w:rPr>
          <w:sz w:val="20"/>
        </w:rPr>
        <w:t xml:space="preserve">Архангельской области</w:t>
      </w:r>
    </w:p>
    <w:p>
      <w:pPr>
        <w:pStyle w:val="0"/>
        <w:jc w:val="right"/>
      </w:pPr>
      <w:r>
        <w:rPr>
          <w:sz w:val="20"/>
        </w:rPr>
        <w:t xml:space="preserve">от 02.03.2016 N 5-п</w:t>
      </w:r>
    </w:p>
    <w:p>
      <w:pPr>
        <w:pStyle w:val="0"/>
        <w:jc w:val="both"/>
      </w:pPr>
      <w:r>
        <w:rPr>
          <w:sz w:val="20"/>
        </w:rPr>
      </w:r>
    </w:p>
    <w:bookmarkStart w:id="40" w:name="P40"/>
    <w:bookmarkEnd w:id="40"/>
    <w:p>
      <w:pPr>
        <w:pStyle w:val="2"/>
        <w:jc w:val="center"/>
      </w:pPr>
      <w:r>
        <w:rPr>
          <w:sz w:val="20"/>
        </w:rPr>
        <w:t xml:space="preserve">ПОРЯДОК</w:t>
      </w:r>
    </w:p>
    <w:p>
      <w:pPr>
        <w:pStyle w:val="2"/>
        <w:jc w:val="center"/>
      </w:pPr>
      <w:r>
        <w:rPr>
          <w:sz w:val="20"/>
        </w:rPr>
        <w:t xml:space="preserve">ПЕРЕДАЧИ ДОКУМЕНТОВ И ИНФОРМАЦИИ, СВЯЗАННОЙ С ФОРМИРОВАНИЕМ</w:t>
      </w:r>
    </w:p>
    <w:p>
      <w:pPr>
        <w:pStyle w:val="2"/>
        <w:jc w:val="center"/>
      </w:pPr>
      <w:r>
        <w:rPr>
          <w:sz w:val="20"/>
        </w:rPr>
        <w:t xml:space="preserve">ФОНДА КАПИТАЛЬНОГО РЕМОНТА МНОГОКВАРТИРНЫХ ДОМОВ, ПРИ</w:t>
      </w:r>
    </w:p>
    <w:p>
      <w:pPr>
        <w:pStyle w:val="2"/>
        <w:jc w:val="center"/>
      </w:pPr>
      <w:r>
        <w:rPr>
          <w:sz w:val="20"/>
        </w:rPr>
        <w:t xml:space="preserve">ИЗМЕНЕНИИ СПОСОБА ФОРМИРОВАНИЯ ФОНДА КАПИТАЛЬНОГО РЕМОНТА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порядок, разработанный в соответствии с </w:t>
      </w:r>
      <w:r>
        <w:rPr>
          <w:sz w:val="20"/>
        </w:rPr>
        <w:t xml:space="preserve">частью 7 статьи 173</w:t>
      </w:r>
      <w:r>
        <w:rPr>
          <w:sz w:val="20"/>
        </w:rPr>
        <w:t xml:space="preserve"> Жилищного кодекса Российской Федерации и </w:t>
      </w:r>
      <w:r>
        <w:rPr>
          <w:sz w:val="20"/>
        </w:rPr>
        <w:t xml:space="preserve">подпунктом 18 пункта 1 статьи 6</w:t>
      </w:r>
      <w:r>
        <w:rPr>
          <w:sz w:val="20"/>
        </w:rPr>
        <w:t xml:space="preserve"> областного закона от 2 июля 2013 года N 701-41-ОЗ "Об организации проведения капитального ремонта общего имущества в многоквартирных домах, расположенных на территории Архангельской области", устанавливает порядок передачи владельцу специального счета и (или) некоммерческой организации - "Фонд капитального ремонта многоквартирных домов Архангельской области" (далее - региональный оператор) документов и информации, связанных с формированием фонда капитального ремонта общего имущества в многоквартирном доме, определяет перечень документов и информации, связанных с формированием фонда капитального ремонта общего имущества в многоквартирном доме, подлежащих передаче, сроки передачи таких документов и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Основаниями для передачи владельцу специального счета и (или) региональному оператору документов и информации, связанной с формированием фонда капитального ремонта, является принятие решения общим собранием собственников помещений в многоквартирном доме об изменении способа формирования фонда капитального ремонта.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При изменении способа формирования фонда капитального ремонта владелец специального счета и (или) региональный оператор в течение 5 рабочих дней со дня вступления в силу решения общего собрания собственников помещений в многоквартирном доме об изменении способа формирования фонда капитального ремонта передает региональному оператору и (или) владельцу специального счета следующие документы и информацию, связанные с формированием фонда капитального ремонта: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1) копию решения общего собрания собственников помещений в многоквартирном доме об изменении способа формирования фонда капитального ремонта общего имущества в многоквартирном доме, заверенную в установленном законодательством Российской Федерации порядке;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2) </w:t>
      </w:r>
      <w:r>
        <w:rPr>
          <w:sz w:val="20"/>
        </w:rPr>
        <w:t xml:space="preserve">информацию</w:t>
      </w:r>
      <w:r>
        <w:rPr>
          <w:sz w:val="20"/>
        </w:rPr>
        <w:t xml:space="preserve"> о размере начисленных и уплаченных взносов на капитальный ремонт общего имущества в многоквартирном доме в отношении каждого собственника помещения в многоквартирном доме, по форме, приведенной в Приложении N 1 к настоящему порядку;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3) </w:t>
      </w:r>
      <w:r>
        <w:rPr>
          <w:sz w:val="20"/>
        </w:rPr>
        <w:t xml:space="preserve">информацию</w:t>
      </w:r>
      <w:r>
        <w:rPr>
          <w:sz w:val="20"/>
        </w:rPr>
        <w:t xml:space="preserve"> о взыскании задолженности по оплате собственниками помещений в многоквартирном доме взносов на капитальный ремонт общего имущества в многоквартирном доме по форме, приведенной в Приложении N 2 к настоящему порядку;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4) информацию о кредитах, займах, привлеченных в целях финансирования услуг и (или) работ по капитальному ремонту общего имущества в многоквартирном доме, в том числе с указанием процентной ставки, под которую они привлекались, а также информацию о погашении таких кредитов, займов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5) информацию о размере средств, направленных на капитальный ремонт общего имущества в многоквартирном доме, в том числе размере предоставленной рассрочки оплаты услуг и (или) работ по капитальному ремонту общего имущества в многоквартирном доме (при наличии);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6) копии документов, связанных с проведением капитального ремонта общего имущества в многоквартирном доме (в том числе договоры на оказание услуг и (или) выполнение работ, акты оказанных услуг и (или) выполненных работ, сметы, проекты, заключения);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7) информацию о размере задолженности по оплате оказанных услуг и (или) выполненных работ по капитальному ремонту общего имущества в многоквартирном доме;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8) информацию о размере остатка средств на специальном счете и обо всех операциях по специальному счету (в случае прекращения формирования фонда капитального ремонта на специальном счете);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9) справку российской кредитной организации об открытии специального счета на имя владельца специального счета (в случае прекращения формирования фонда капитального ремонта на счете регионального оператора);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10) иные документы, связанные с формированием фонда капитального ремонта.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Вся информация передается с соблюдением законодательства о защите персональных данных.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Документы передаются на основании акта приема-передачи, подписанного уполномоченными лицами со стороны владельца специального счета и со стороны регионального оператора (далее соответственно - акт, уполномоченное лицо) в день передачи документов.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В акте должна содержаться следующая информация: перечень документов, передаваемых и принимаемых по данному акту, сведения о дате и месте его составления, об уполномоченных лицах, подписавших акт (фамилия, инициалы, должность, вид и реквизиты документов, подтверждающих полномочия указанных лиц).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Акт оформляется в двух экземплярах: один для владельца специального счета, второй для регионального оператора.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В случае направления документов через организации почтовой связи акт оформляется и подписывается уполномоченным лицом в день получения документов. Один экземпляр акта в течение 2 рабочих дней со дня его подписания направляется отправителю документов заказным письмом с уведомлением о вручении. Документ, подтверждающий факт направления акта, приобщается к документам.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порядку передачи документов</w:t>
      </w:r>
    </w:p>
    <w:p>
      <w:pPr>
        <w:pStyle w:val="0"/>
        <w:jc w:val="right"/>
      </w:pPr>
      <w:r>
        <w:rPr>
          <w:sz w:val="20"/>
        </w:rPr>
        <w:t xml:space="preserve">и информации, связанной с формированием</w:t>
      </w:r>
    </w:p>
    <w:p>
      <w:pPr>
        <w:pStyle w:val="0"/>
        <w:jc w:val="right"/>
      </w:pPr>
      <w:r>
        <w:rPr>
          <w:sz w:val="20"/>
        </w:rPr>
        <w:t xml:space="preserve">фонда капитального ремонта многоквартирных</w:t>
      </w:r>
    </w:p>
    <w:p>
      <w:pPr>
        <w:pStyle w:val="0"/>
        <w:jc w:val="right"/>
      </w:pPr>
      <w:r>
        <w:rPr>
          <w:sz w:val="20"/>
        </w:rPr>
        <w:t xml:space="preserve">домов, при изменении способа формирования</w:t>
      </w:r>
    </w:p>
    <w:p>
      <w:pPr>
        <w:pStyle w:val="0"/>
        <w:jc w:val="right"/>
      </w:pPr>
      <w:r>
        <w:rPr>
          <w:sz w:val="20"/>
        </w:rPr>
        <w:t xml:space="preserve">фонда капитального ремонта</w:t>
      </w:r>
    </w:p>
    <w:p>
      <w:pPr>
        <w:pStyle w:val="0"/>
        <w:jc w:val="both"/>
      </w:pPr>
      <w:r>
        <w:rPr>
          <w:sz w:val="20"/>
        </w:rPr>
      </w:r>
    </w:p>
    <w:bookmarkStart w:id="75" w:name="P75"/>
    <w:bookmarkEnd w:id="75"/>
    <w:p>
      <w:pPr>
        <w:pStyle w:val="0"/>
        <w:jc w:val="center"/>
      </w:pPr>
      <w:r>
        <w:rPr>
          <w:sz w:val="20"/>
        </w:rPr>
        <w:t xml:space="preserve">ИНФОРМАЦИЯ</w:t>
      </w:r>
    </w:p>
    <w:p>
      <w:pPr>
        <w:pStyle w:val="0"/>
        <w:jc w:val="center"/>
      </w:pPr>
      <w:r>
        <w:rPr>
          <w:sz w:val="20"/>
        </w:rPr>
        <w:t xml:space="preserve">о размере начисленных и уплаченных взносов на капитальный</w:t>
      </w:r>
    </w:p>
    <w:p>
      <w:pPr>
        <w:pStyle w:val="0"/>
        <w:jc w:val="center"/>
      </w:pPr>
      <w:r>
        <w:rPr>
          <w:sz w:val="20"/>
        </w:rPr>
        <w:t xml:space="preserve">ремонт общего имущества в многоквартирном доме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__________________________________________</w:t>
      </w:r>
    </w:p>
    <w:p>
      <w:pPr>
        <w:pStyle w:val="0"/>
        <w:jc w:val="center"/>
      </w:pPr>
      <w:r>
        <w:rPr>
          <w:sz w:val="20"/>
        </w:rPr>
        <w:t xml:space="preserve">(адрес многоквартирного дома)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3"/>
          <w:headerReference w:type="first" r:id="rId3"/>
          <w:footerReference w:type="default" r:id="rId4"/>
          <w:footerReference w:type="first" r:id="rId4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92"/>
        <w:gridCol w:w="1104"/>
        <w:gridCol w:w="1605"/>
        <w:gridCol w:w="1212"/>
        <w:gridCol w:w="1191"/>
        <w:gridCol w:w="1542"/>
        <w:gridCol w:w="1327"/>
        <w:gridCol w:w="1220"/>
        <w:gridCol w:w="1775"/>
        <w:gridCol w:w="1327"/>
        <w:gridCol w:w="1220"/>
        <w:gridCol w:w="1775"/>
      </w:tblGrid>
      <w:tr>
        <w:tc>
          <w:tcPr>
            <w:tcW w:w="59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110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Лицевой счет</w:t>
            </w:r>
          </w:p>
        </w:tc>
        <w:tc>
          <w:tcPr>
            <w:tcW w:w="160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Данные о собственнике помещения (Ф.И.О., организация)</w:t>
            </w:r>
          </w:p>
        </w:tc>
        <w:tc>
          <w:tcPr>
            <w:tcW w:w="121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Площадь, кв. м</w:t>
            </w:r>
          </w:p>
        </w:tc>
        <w:tc>
          <w:tcPr>
            <w:tcW w:w="119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Тип (физ. лицо/юр. лицо)</w:t>
            </w:r>
          </w:p>
        </w:tc>
        <w:tc>
          <w:tcPr>
            <w:tcW w:w="154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квартиры (помещения)</w:t>
            </w:r>
          </w:p>
        </w:tc>
        <w:tc>
          <w:tcPr>
            <w:gridSpan w:val="3"/>
            <w:tcW w:w="43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Взносы по состоянию на "__" ______ 20__ г., руб.</w:t>
            </w:r>
          </w:p>
        </w:tc>
        <w:tc>
          <w:tcPr>
            <w:gridSpan w:val="3"/>
            <w:tcW w:w="43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Пени по состоянию на "__" ______ 20__ г., руб.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2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Начислено</w:t>
            </w:r>
          </w:p>
        </w:tc>
        <w:tc>
          <w:tcPr>
            <w:tcW w:w="12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Оплачено</w:t>
            </w:r>
          </w:p>
        </w:tc>
        <w:tc>
          <w:tcPr>
            <w:tcW w:w="17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Задолженность</w:t>
            </w:r>
          </w:p>
        </w:tc>
        <w:tc>
          <w:tcPr>
            <w:tcW w:w="132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Начислено</w:t>
            </w:r>
          </w:p>
        </w:tc>
        <w:tc>
          <w:tcPr>
            <w:tcW w:w="12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Оплачено</w:t>
            </w:r>
          </w:p>
        </w:tc>
        <w:tc>
          <w:tcPr>
            <w:tcW w:w="17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Задолженность</w:t>
            </w:r>
          </w:p>
        </w:tc>
      </w:tr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6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21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5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32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12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7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32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2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7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1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1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1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...</w:t>
            </w:r>
          </w:p>
        </w:tc>
        <w:tc>
          <w:tcPr>
            <w:tcW w:w="11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1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9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110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1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4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3"/>
            <w:tcW w:w="3301" w:type="dxa"/>
          </w:tcPr>
          <w:p>
            <w:pPr>
              <w:pStyle w:val="0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212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*</w:t>
            </w:r>
          </w:p>
        </w:tc>
        <w:tc>
          <w:tcPr>
            <w:tcW w:w="15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*</w:t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327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22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7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 _____________________ __________________________________</w:t>
      </w:r>
    </w:p>
    <w:p>
      <w:pPr>
        <w:pStyle w:val="1"/>
        <w:jc w:val="both"/>
      </w:pPr>
      <w:r>
        <w:rPr>
          <w:sz w:val="20"/>
        </w:rPr>
        <w:t xml:space="preserve">    (должность)         (подпись)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МП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порядку передачи документов</w:t>
      </w:r>
    </w:p>
    <w:p>
      <w:pPr>
        <w:pStyle w:val="0"/>
        <w:jc w:val="right"/>
      </w:pPr>
      <w:r>
        <w:rPr>
          <w:sz w:val="20"/>
        </w:rPr>
        <w:t xml:space="preserve">и информации, связанной с формированием</w:t>
      </w:r>
    </w:p>
    <w:p>
      <w:pPr>
        <w:pStyle w:val="0"/>
        <w:jc w:val="right"/>
      </w:pPr>
      <w:r>
        <w:rPr>
          <w:sz w:val="20"/>
        </w:rPr>
        <w:t xml:space="preserve">фонда капитального ремонта многоквартирных</w:t>
      </w:r>
    </w:p>
    <w:p>
      <w:pPr>
        <w:pStyle w:val="0"/>
        <w:jc w:val="right"/>
      </w:pPr>
      <w:r>
        <w:rPr>
          <w:sz w:val="20"/>
        </w:rPr>
        <w:t xml:space="preserve">домов, при изменении способа формирования</w:t>
      </w:r>
    </w:p>
    <w:p>
      <w:pPr>
        <w:pStyle w:val="0"/>
        <w:jc w:val="right"/>
      </w:pPr>
      <w:r>
        <w:rPr>
          <w:sz w:val="20"/>
        </w:rPr>
        <w:t xml:space="preserve">фонда капитального ремонта</w:t>
      </w:r>
    </w:p>
    <w:p>
      <w:pPr>
        <w:pStyle w:val="0"/>
        <w:jc w:val="both"/>
      </w:pPr>
      <w:r>
        <w:rPr>
          <w:sz w:val="20"/>
        </w:rPr>
      </w:r>
    </w:p>
    <w:bookmarkStart w:id="182" w:name="P182"/>
    <w:bookmarkEnd w:id="182"/>
    <w:p>
      <w:pPr>
        <w:pStyle w:val="0"/>
        <w:jc w:val="center"/>
      </w:pPr>
      <w:r>
        <w:rPr>
          <w:sz w:val="20"/>
        </w:rPr>
        <w:t xml:space="preserve">ИНФОРМАЦИЯ</w:t>
      </w:r>
    </w:p>
    <w:p>
      <w:pPr>
        <w:pStyle w:val="0"/>
        <w:jc w:val="center"/>
      </w:pPr>
      <w:r>
        <w:rPr>
          <w:sz w:val="20"/>
        </w:rPr>
        <w:t xml:space="preserve">о взыскании задолженности по оплате собственниками помещений</w:t>
      </w:r>
    </w:p>
    <w:p>
      <w:pPr>
        <w:pStyle w:val="0"/>
        <w:jc w:val="center"/>
      </w:pPr>
      <w:r>
        <w:rPr>
          <w:sz w:val="20"/>
        </w:rPr>
        <w:t xml:space="preserve">в многоквартирном доме взносов на капитальный ремонт общего</w:t>
      </w:r>
    </w:p>
    <w:p>
      <w:pPr>
        <w:pStyle w:val="0"/>
        <w:jc w:val="center"/>
      </w:pPr>
      <w:r>
        <w:rPr>
          <w:sz w:val="20"/>
        </w:rPr>
        <w:t xml:space="preserve">имущества в многоквартирном доме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4"/>
        <w:gridCol w:w="3543"/>
        <w:gridCol w:w="1153"/>
        <w:gridCol w:w="1605"/>
        <w:gridCol w:w="983"/>
        <w:gridCol w:w="988"/>
        <w:gridCol w:w="1558"/>
        <w:gridCol w:w="984"/>
        <w:gridCol w:w="1558"/>
        <w:gridCol w:w="1003"/>
        <w:gridCol w:w="1560"/>
      </w:tblGrid>
      <w:tr>
        <w:tc>
          <w:tcPr>
            <w:tcW w:w="53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54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Адрес МКД (индекс, район, населенный пункт, улица, дом, номер квартиры (помещения))</w:t>
            </w:r>
          </w:p>
        </w:tc>
        <w:tc>
          <w:tcPr>
            <w:tcW w:w="115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Лицевой счет</w:t>
            </w:r>
          </w:p>
        </w:tc>
        <w:tc>
          <w:tcPr>
            <w:tcW w:w="160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Данные о собственнике помещения (Ф.И.О., организация)</w:t>
            </w:r>
          </w:p>
        </w:tc>
        <w:tc>
          <w:tcPr>
            <w:tcW w:w="98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Иск </w:t>
            </w:r>
            <w:r>
              <w:rPr>
                <w:sz w:val="20"/>
              </w:rPr>
              <w:t xml:space="preserve">&lt;*&gt;</w:t>
            </w:r>
            <w:r>
              <w:rPr>
                <w:sz w:val="20"/>
              </w:rPr>
              <w:t xml:space="preserve"> (номер, дата)</w:t>
            </w:r>
          </w:p>
        </w:tc>
        <w:tc>
          <w:tcPr>
            <w:gridSpan w:val="2"/>
            <w:tcW w:w="254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Иск </w:t>
            </w:r>
            <w:r>
              <w:rPr>
                <w:sz w:val="20"/>
              </w:rPr>
              <w:t xml:space="preserve">&lt;*&gt;</w:t>
            </w:r>
          </w:p>
        </w:tc>
        <w:tc>
          <w:tcPr>
            <w:gridSpan w:val="2"/>
            <w:tcW w:w="25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Оплата добровольная </w:t>
            </w:r>
            <w:r>
              <w:rPr>
                <w:sz w:val="20"/>
              </w:rPr>
              <w:t xml:space="preserve">&lt;*&gt;</w:t>
            </w:r>
          </w:p>
        </w:tc>
        <w:tc>
          <w:tcPr>
            <w:gridSpan w:val="2"/>
            <w:tcW w:w="25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Решение суда </w:t>
            </w:r>
            <w:r>
              <w:rPr>
                <w:sz w:val="20"/>
              </w:rPr>
              <w:t xml:space="preserve">&lt;*&gt;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Сумма, руб.</w:t>
            </w:r>
          </w:p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Госпошлина, руб.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Сумма, руб.</w:t>
            </w:r>
          </w:p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Госпошлина, руб.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Сумма, руб.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Госпошлина, руб.</w:t>
            </w:r>
          </w:p>
        </w:tc>
      </w:tr>
      <w:tr>
        <w:tc>
          <w:tcPr>
            <w:tcW w:w="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54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1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6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98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155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5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</w:tr>
      <w:tr>
        <w:tc>
          <w:tcPr>
            <w:tcW w:w="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54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354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...</w:t>
            </w:r>
          </w:p>
        </w:tc>
        <w:tc>
          <w:tcPr>
            <w:tcW w:w="354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354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15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60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2"/>
            <w:tcW w:w="4077" w:type="dxa"/>
          </w:tcPr>
          <w:p>
            <w:pPr>
              <w:pStyle w:val="0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11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*</w:t>
            </w:r>
          </w:p>
        </w:tc>
        <w:tc>
          <w:tcPr>
            <w:tcW w:w="16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*</w:t>
            </w:r>
          </w:p>
        </w:tc>
        <w:tc>
          <w:tcPr>
            <w:tcW w:w="9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*</w:t>
            </w:r>
          </w:p>
        </w:tc>
        <w:tc>
          <w:tcPr>
            <w:tcW w:w="98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58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00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56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--------------------------------</w:t>
      </w:r>
    </w:p>
    <w:bookmarkStart w:id="268" w:name="P268"/>
    <w:bookmarkEnd w:id="268"/>
    <w:p>
      <w:pPr>
        <w:pStyle w:val="1"/>
        <w:jc w:val="both"/>
      </w:pPr>
      <w:r>
        <w:rPr>
          <w:sz w:val="20"/>
        </w:rPr>
        <w:t xml:space="preserve">    &lt;*&gt; - Прилагаются подтверждающие документы.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 _____________________ __________________________________</w:t>
      </w:r>
    </w:p>
    <w:p>
      <w:pPr>
        <w:pStyle w:val="1"/>
        <w:jc w:val="both"/>
      </w:pPr>
      <w:r>
        <w:rPr>
          <w:sz w:val="20"/>
        </w:rPr>
        <w:t xml:space="preserve">   (должность)          (подпись)                   (Ф.И.О.)</w:t>
      </w:r>
    </w:p>
    <w:p>
      <w:pPr>
        <w:pStyle w:val="1"/>
        <w:jc w:val="both"/>
      </w:pPr>
      <w:r>
        <w:rPr>
          <w:sz w:val="20"/>
        </w:rPr>
        <w:t xml:space="preserve">                                    МП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sectPr>
      <w:headerReference w:type="default" r:id="rId5"/>
      <w:headerReference w:type="first" r:id="rId5"/>
      <w:footerReference w:type="default" r:id="rId6"/>
      <w:footerReference w:type="first" r:id="rId6"/>
      <w:pgSz w:w="16838" w:h="11906" w:orient="landscape"/>
      <w:pgMar w:top="1133" w:right="397" w:bottom="566" w:left="397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Министерства ТЭК и ЖКХ АО от 02.03.2016 N 5-п</w:t>
            <w:br/>
            <w:t>"Об утверждении порядка передачи документов и информации, св...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Министерства ТЭК и ЖКХ АО от 02.03.2016 N 5-п</w:t>
            <w:br/>
            <w:t>"Об утверждении порядка передачи документов и информации, св...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4026.00.34</Application>
  <Company>КонсультантПлюс Версия 4026.00.34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Министерства ТЭК и ЖКХ АО от 02.03.2016 N 5-п
"Об утверждении порядка передачи документов и информации, связанной с формированием фонда капитального ремонта многоквартирных домов, при изменении способа формирования фонда капитального ремонта"</dc:title>
  <dcterms:created xsi:type="dcterms:W3CDTF">2026-08-19T09:46:36Z</dcterms:created>
</cp:coreProperties>
</file>