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29.12.2014 N 595-пп</w:t>
      </w:r>
    </w:p>
    <w:p>
      <w:pPr>
        <w:pStyle w:val="0"/>
        <w:jc w:val="both"/>
      </w:pPr>
      <w:r>
        <w:rPr>
          <w:sz w:val="20"/>
        </w:rPr>
        <w:t xml:space="preserve">(ред. от 28.09.2020)</w:t>
      </w:r>
    </w:p>
    <w:p>
      <w:pPr>
        <w:pStyle w:val="0"/>
        <w:jc w:val="both"/>
      </w:pPr>
      <w:r>
        <w:rPr>
          <w:sz w:val="20"/>
        </w:rPr>
        <w:t xml:space="preserve">"Об утверждении Порядка принятия решения о проведении аудита годовой бухгалтерской (финансовой) отчетности регионального оператора, отбора аудиторской организации (аудитора), утверждения договора с аудиторской организацией (аудитором)"</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Официальный интернет-портал Администрации Архангельской области </w:t>
      </w:r>
      <w:r>
        <w:rPr>
          <w:sz w:val="20"/>
        </w:rPr>
        <w:t xml:space="preserve">http://www.dvinaland.ru</w:t>
      </w:r>
      <w:r>
        <w:rPr>
          <w:sz w:val="20"/>
        </w:rPr>
        <w:t xml:space="preserve">, 13.01.2015.</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- 30.09.2020.</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28.09.2020 N 606-пп,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- 30.09.2020).</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2014 г. N 595-пп</w:t>
      </w:r>
    </w:p>
    <w:p>
      <w:pPr>
        <w:pStyle w:val="2"/>
        <w:jc w:val="center"/>
      </w:pPr>
      <w:r>
        <w:rPr>
          <w:sz w:val="20"/>
        </w:rPr>
      </w:r>
    </w:p>
    <w:p>
      <w:pPr>
        <w:pStyle w:val="2"/>
        <w:jc w:val="center"/>
      </w:pPr>
      <w:r>
        <w:rPr>
          <w:sz w:val="20"/>
        </w:rPr>
        <w:t xml:space="preserve">ОБ УТВЕРЖДЕНИИ ПОРЯДКА ПРИНЯТИЯ РЕШЕНИЯ О ПРОВЕДЕНИИ АУДИТА</w:t>
      </w:r>
    </w:p>
    <w:p>
      <w:pPr>
        <w:pStyle w:val="2"/>
        <w:jc w:val="center"/>
      </w:pPr>
      <w:r>
        <w:rPr>
          <w:sz w:val="20"/>
        </w:rPr>
        <w:t xml:space="preserve">ГОДОВОЙ БУХГАЛТЕРСКОЙ (ФИНАНСОВОЙ) ОТЧЕТНОСТИ РЕГИОНАЛЬНОГО</w:t>
      </w:r>
    </w:p>
    <w:p>
      <w:pPr>
        <w:pStyle w:val="2"/>
        <w:jc w:val="center"/>
      </w:pPr>
      <w:r>
        <w:rPr>
          <w:sz w:val="20"/>
        </w:rPr>
        <w:t xml:space="preserve">ОПЕРАТОРА, ОТБОРА АУДИТОРСКОЙ ОРГАНИЗАЦИИ (АУДИТОРА),</w:t>
      </w:r>
    </w:p>
    <w:p>
      <w:pPr>
        <w:pStyle w:val="2"/>
        <w:jc w:val="center"/>
      </w:pPr>
      <w:r>
        <w:rPr>
          <w:sz w:val="20"/>
        </w:rPr>
        <w:t xml:space="preserve">УТВЕРЖДЕНИЯ ДОГОВОРА С АУДИТОРСКОЙ ОРГАНИЗАЦИЕЙ (АУДИТОРОМ)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19.01.2016 </w:t>
            </w:r>
            <w:r>
              <w:rPr>
                <w:sz w:val="20"/>
                <w:color w:val="392c69"/>
              </w:rPr>
              <w:t xml:space="preserve">N 5-пп</w:t>
            </w:r>
            <w:r>
              <w:rPr>
                <w:sz w:val="20"/>
                <w:color w:val="392c69"/>
              </w:rPr>
              <w:t xml:space="preserve">, от 28.09.2020 </w:t>
            </w:r>
            <w:r>
              <w:rPr>
                <w:sz w:val="20"/>
                <w:color w:val="392c69"/>
              </w:rPr>
              <w:t xml:space="preserve">N 606-пп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r>
        <w:rPr>
          <w:sz w:val="20"/>
        </w:rPr>
        <w:t xml:space="preserve">статьей 187</w:t>
      </w:r>
      <w:r>
        <w:rPr>
          <w:sz w:val="20"/>
        </w:rPr>
        <w:t xml:space="preserve"> Жилищного кодекса Российской Федерации и </w:t>
      </w:r>
      <w:r>
        <w:rPr>
          <w:sz w:val="20"/>
        </w:rPr>
        <w:t xml:space="preserve">статьей 33</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принятия решения о проведении аудита годовой бухгалтерской (финансовой) отчетности регионального оператора, отбора аудиторской организации (аудитора), утверждения договора с аудиторской организацией (аудитором).</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29.12.2014 N 595-пп</w:t>
      </w:r>
    </w:p>
    <w:p>
      <w:pPr>
        <w:pStyle w:val="0"/>
        <w:jc w:val="both"/>
      </w:pPr>
      <w:r>
        <w:rPr>
          <w:sz w:val="20"/>
        </w:rPr>
      </w:r>
    </w:p>
    <w:bookmarkStart w:id="44" w:name="P44"/>
    <w:bookmarkEnd w:id="44"/>
    <w:p>
      <w:pPr>
        <w:pStyle w:val="2"/>
        <w:jc w:val="center"/>
      </w:pPr>
      <w:r>
        <w:rPr>
          <w:sz w:val="20"/>
        </w:rPr>
        <w:t xml:space="preserve">ПОРЯДОК,</w:t>
      </w:r>
    </w:p>
    <w:p>
      <w:pPr>
        <w:pStyle w:val="2"/>
        <w:jc w:val="center"/>
      </w:pPr>
      <w:r>
        <w:rPr>
          <w:sz w:val="20"/>
        </w:rPr>
        <w:t xml:space="preserve">ПРИНЯТИЯ РЕШЕНИЯ О ПРОВЕДЕНИИ АУДИТА ГОДОВОЙ БУХГАЛТЕРСКОЙ</w:t>
      </w:r>
    </w:p>
    <w:p>
      <w:pPr>
        <w:pStyle w:val="2"/>
        <w:jc w:val="center"/>
      </w:pPr>
      <w:r>
        <w:rPr>
          <w:sz w:val="20"/>
        </w:rPr>
        <w:t xml:space="preserve">(ФИНАНСОВОЙ) ОТЧЕТНОСТИ РЕГИОНАЛЬНОГО ОПЕРАТОРА, ОТБОРА</w:t>
      </w:r>
    </w:p>
    <w:p>
      <w:pPr>
        <w:pStyle w:val="2"/>
        <w:jc w:val="center"/>
      </w:pPr>
      <w:r>
        <w:rPr>
          <w:sz w:val="20"/>
        </w:rPr>
        <w:t xml:space="preserve">АУДИТОРСКОЙ ОРГАНИЗАЦИИ (АУДИТОРА), УТВЕРЖДЕНИЯ ДОГОВОРА</w:t>
      </w:r>
    </w:p>
    <w:p>
      <w:pPr>
        <w:pStyle w:val="2"/>
        <w:jc w:val="center"/>
      </w:pPr>
      <w:r>
        <w:rPr>
          <w:sz w:val="20"/>
        </w:rPr>
        <w:t xml:space="preserve">С АУДИТОРСКОЙ ОРГАНИЗАЦИЕЙ (АУДИТОРОМ)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19.01.2016 </w:t>
            </w:r>
            <w:r>
              <w:rPr>
                <w:sz w:val="20"/>
                <w:color w:val="392c69"/>
              </w:rPr>
              <w:t xml:space="preserve">N 5-пп</w:t>
            </w:r>
            <w:r>
              <w:rPr>
                <w:sz w:val="20"/>
                <w:color w:val="392c69"/>
              </w:rPr>
              <w:t xml:space="preserve">, от 28.09.2020 </w:t>
            </w:r>
            <w:r>
              <w:rPr>
                <w:sz w:val="20"/>
                <w:color w:val="392c69"/>
              </w:rPr>
              <w:t xml:space="preserve">N 606-пп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разработанный в соответствии со </w:t>
      </w:r>
      <w:r>
        <w:rPr>
          <w:sz w:val="20"/>
        </w:rPr>
        <w:t xml:space="preserve">статьей 187</w:t>
      </w:r>
      <w:r>
        <w:rPr>
          <w:sz w:val="20"/>
        </w:rPr>
        <w:t xml:space="preserve"> Жилищного кодекса Российской Федерации и </w:t>
      </w:r>
      <w:r>
        <w:rPr>
          <w:sz w:val="20"/>
        </w:rPr>
        <w:t xml:space="preserve">статьей 33</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определяет порядок:</w:t>
      </w:r>
    </w:p>
    <w:p>
      <w:pPr>
        <w:pStyle w:val="0"/>
        <w:spacing w:before="200" w:lineRule="auto"/>
        <w:ind w:firstLine="540"/>
        <w:jc w:val="both"/>
      </w:pPr>
      <w:r>
        <w:rPr>
          <w:sz w:val="20"/>
        </w:rPr>
        <w:t xml:space="preserve">принятия министерством топливно-энергетического комплекса и жилищно-коммунального хозяйства Архангельской области (далее - министерство) решения о проведении аудита годовой бухгалтерской (финансовой) отчетности некоммерческой организации "Фонд капитального ремонта многоквартирных домов Архангельской области" (далее - региональный оператор);</w:t>
      </w:r>
    </w:p>
    <w:p>
      <w:pPr>
        <w:pStyle w:val="0"/>
        <w:spacing w:before="200" w:lineRule="auto"/>
        <w:ind w:firstLine="540"/>
        <w:jc w:val="both"/>
      </w:pPr>
      <w:r>
        <w:rPr>
          <w:sz w:val="20"/>
        </w:rPr>
        <w:t xml:space="preserve">отбора аудиторской организации (аудитора);</w:t>
      </w:r>
    </w:p>
    <w:p>
      <w:pPr>
        <w:pStyle w:val="0"/>
        <w:spacing w:before="200" w:lineRule="auto"/>
        <w:ind w:firstLine="540"/>
        <w:jc w:val="both"/>
      </w:pPr>
      <w:r>
        <w:rPr>
          <w:sz w:val="20"/>
        </w:rPr>
        <w:t xml:space="preserve">утверждения договора с аудиторской организацией (аудитором);</w:t>
      </w:r>
    </w:p>
    <w:p>
      <w:pPr>
        <w:pStyle w:val="0"/>
        <w:spacing w:before="200" w:lineRule="auto"/>
        <w:ind w:firstLine="540"/>
        <w:jc w:val="both"/>
      </w:pPr>
      <w:r>
        <w:rPr>
          <w:sz w:val="20"/>
        </w:rPr>
        <w:t xml:space="preserve">размещения годового отчета регионального оператора и аудиторского заключения в информационно-телекоммуникационной сети "Интернет".</w:t>
      </w:r>
    </w:p>
    <w:p>
      <w:pPr>
        <w:pStyle w:val="0"/>
        <w:spacing w:before="200" w:lineRule="auto"/>
        <w:ind w:firstLine="540"/>
        <w:jc w:val="both"/>
      </w:pPr>
      <w:r>
        <w:rPr>
          <w:sz w:val="20"/>
        </w:rPr>
        <w:t xml:space="preserve">2. Отчетный период регионального оператора устанавливается с 1 января по 31 декабря календарного года включительно.</w:t>
      </w:r>
    </w:p>
    <w:p>
      <w:pPr>
        <w:pStyle w:val="0"/>
        <w:spacing w:before="200" w:lineRule="auto"/>
        <w:ind w:firstLine="540"/>
        <w:jc w:val="both"/>
      </w:pPr>
      <w:r>
        <w:rPr>
          <w:sz w:val="20"/>
        </w:rPr>
        <w:t xml:space="preserve">3.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путем открытого конкурса.</w:t>
      </w:r>
    </w:p>
    <w:p>
      <w:pPr>
        <w:pStyle w:val="0"/>
        <w:spacing w:before="200" w:lineRule="auto"/>
        <w:ind w:firstLine="540"/>
        <w:jc w:val="both"/>
      </w:pPr>
      <w:r>
        <w:rPr>
          <w:sz w:val="20"/>
        </w:rPr>
        <w:t xml:space="preserve">4. Решение о проведении аудита годовой бухгалтерской (финансовой) отчетности регионального оператора принимается министерством ежегодно до 1 февраля года, следующего за отчетным периодом.</w:t>
      </w:r>
    </w:p>
    <w:p>
      <w:pPr>
        <w:pStyle w:val="0"/>
        <w:spacing w:before="200" w:lineRule="auto"/>
        <w:ind w:firstLine="540"/>
        <w:jc w:val="both"/>
      </w:pPr>
      <w:r>
        <w:rPr>
          <w:sz w:val="20"/>
        </w:rPr>
        <w:t xml:space="preserve">5. Решение оформляется в виде распоряжения министерства и определяет, в том числе:</w:t>
      </w:r>
    </w:p>
    <w:p>
      <w:pPr>
        <w:pStyle w:val="0"/>
        <w:spacing w:before="200" w:lineRule="auto"/>
        <w:ind w:firstLine="540"/>
        <w:jc w:val="both"/>
      </w:pPr>
      <w:r>
        <w:rPr>
          <w:sz w:val="20"/>
        </w:rPr>
        <w:t xml:space="preserve">состав конкурсной комиссии;</w:t>
      </w:r>
    </w:p>
    <w:p>
      <w:pPr>
        <w:pStyle w:val="0"/>
        <w:spacing w:before="200" w:lineRule="auto"/>
        <w:ind w:firstLine="540"/>
        <w:jc w:val="both"/>
      </w:pPr>
      <w:r>
        <w:rPr>
          <w:sz w:val="20"/>
        </w:rPr>
        <w:t xml:space="preserve">дату (срок) проведения конкурса по отбору аудиторской организации (аудитора);</w:t>
      </w:r>
    </w:p>
    <w:p>
      <w:pPr>
        <w:pStyle w:val="0"/>
        <w:spacing w:before="200" w:lineRule="auto"/>
        <w:ind w:firstLine="540"/>
        <w:jc w:val="both"/>
      </w:pPr>
      <w:r>
        <w:rPr>
          <w:sz w:val="20"/>
        </w:rPr>
        <w:t xml:space="preserve">сроки и порядок размещения извещения о проведении конкурса и конкурсной документации в информационно-телекоммуникационной сети "Интернет";</w:t>
      </w:r>
    </w:p>
    <w:p>
      <w:pPr>
        <w:pStyle w:val="0"/>
        <w:spacing w:before="200" w:lineRule="auto"/>
        <w:ind w:firstLine="540"/>
        <w:jc w:val="both"/>
      </w:pPr>
      <w:r>
        <w:rPr>
          <w:sz w:val="20"/>
        </w:rPr>
        <w:t xml:space="preserve">сроки подачи и окончания приема заявок на участие в конкурсе.</w:t>
      </w:r>
    </w:p>
    <w:p>
      <w:pPr>
        <w:pStyle w:val="0"/>
        <w:spacing w:before="200" w:lineRule="auto"/>
        <w:ind w:firstLine="540"/>
        <w:jc w:val="both"/>
      </w:pPr>
      <w:r>
        <w:rPr>
          <w:sz w:val="20"/>
        </w:rPr>
        <w:t xml:space="preserve">6. Конкурсная документация по отбору аудиторской организации (аудитора) разрабатывается и утверждается министерством.</w:t>
      </w:r>
    </w:p>
    <w:p>
      <w:pPr>
        <w:pStyle w:val="0"/>
        <w:spacing w:before="200" w:lineRule="auto"/>
        <w:ind w:firstLine="540"/>
        <w:jc w:val="both"/>
      </w:pPr>
      <w:r>
        <w:rPr>
          <w:sz w:val="20"/>
        </w:rPr>
        <w:t xml:space="preserve">7. Отбор аудиторской организации для проведения обязательного аудита годовой бухгалтерской (финансовой) отчетности регионального оператора осуществляется министерством на торгах путем открытого конкурса в соответствии со </w:t>
      </w:r>
      <w:r>
        <w:rPr>
          <w:sz w:val="20"/>
        </w:rPr>
        <w:t xml:space="preserve">статьями 447</w:t>
      </w:r>
      <w:r>
        <w:rPr>
          <w:sz w:val="20"/>
        </w:rPr>
        <w:t xml:space="preserve"> - </w:t>
      </w:r>
      <w:r>
        <w:rPr>
          <w:sz w:val="20"/>
        </w:rPr>
        <w:t xml:space="preserve">449</w:t>
      </w:r>
      <w:r>
        <w:rPr>
          <w:sz w:val="20"/>
        </w:rPr>
        <w:t xml:space="preserve"> Гражданского кодекса Российской Федерации.</w:t>
      </w:r>
    </w:p>
    <w:p>
      <w:pPr>
        <w:pStyle w:val="0"/>
        <w:spacing w:before="200" w:lineRule="auto"/>
        <w:ind w:firstLine="540"/>
        <w:jc w:val="both"/>
      </w:pPr>
      <w:r>
        <w:rPr>
          <w:sz w:val="20"/>
        </w:rPr>
        <w:t xml:space="preserve">8. Конкурсная комиссия является временным специально уполномоченным органом и создается министерством для организации проведения конкурсной процедуры.</w:t>
      </w:r>
    </w:p>
    <w:p>
      <w:pPr>
        <w:pStyle w:val="0"/>
        <w:jc w:val="both"/>
      </w:pPr>
      <w:r>
        <w:rPr>
          <w:sz w:val="20"/>
        </w:rPr>
        <w:t xml:space="preserve">(п. 8 в ред. </w:t>
      </w:r>
      <w:r>
        <w:rPr>
          <w:sz w:val="20"/>
        </w:rPr>
        <w:t xml:space="preserve">постановления</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9. Конкурсная комиссия осуществляет следующие функции:</w:t>
      </w:r>
    </w:p>
    <w:p>
      <w:pPr>
        <w:pStyle w:val="0"/>
        <w:spacing w:before="200" w:lineRule="auto"/>
        <w:ind w:firstLine="540"/>
        <w:jc w:val="both"/>
      </w:pPr>
      <w:r>
        <w:rPr>
          <w:sz w:val="20"/>
        </w:rPr>
        <w:t xml:space="preserve">1) производит вскрытие конвертов с предложениями претендентов (далее - заявка), определяет участников конкурса, оформляет и подписывает протокол вскрытия конвертов;</w:t>
      </w:r>
    </w:p>
    <w:p>
      <w:pPr>
        <w:pStyle w:val="0"/>
        <w:spacing w:before="200" w:lineRule="auto"/>
        <w:ind w:firstLine="540"/>
        <w:jc w:val="both"/>
      </w:pPr>
      <w:r>
        <w:rPr>
          <w:sz w:val="20"/>
        </w:rPr>
        <w:t xml:space="preserve">2) осуществляет рассмотрение, оценку и сопоставление заявок, определяет победителя конкурса, оформляет и подписывает протокол оценки и сопоставления заявок;</w:t>
      </w:r>
    </w:p>
    <w:p>
      <w:pPr>
        <w:pStyle w:val="0"/>
        <w:spacing w:before="200" w:lineRule="auto"/>
        <w:ind w:firstLine="540"/>
        <w:jc w:val="both"/>
      </w:pPr>
      <w:r>
        <w:rPr>
          <w:sz w:val="20"/>
        </w:rPr>
        <w:t xml:space="preserve">3) размещает протоколы на официальном сайте Правительства Архангельской области в информационно-телекоммуникационной сети "Интернет":</w:t>
      </w:r>
    </w:p>
    <w:p>
      <w:pPr>
        <w:pStyle w:val="0"/>
        <w:spacing w:before="200" w:lineRule="auto"/>
        <w:ind w:firstLine="540"/>
        <w:jc w:val="both"/>
      </w:pPr>
      <w:r>
        <w:rPr>
          <w:sz w:val="20"/>
        </w:rPr>
        <w:t xml:space="preserve">в течение трех рабочих дней со дня вскрытия конвертов - протокол вскрытия конвертов;</w:t>
      </w:r>
    </w:p>
    <w:p>
      <w:pPr>
        <w:pStyle w:val="0"/>
        <w:spacing w:before="200" w:lineRule="auto"/>
        <w:ind w:firstLine="540"/>
        <w:jc w:val="both"/>
      </w:pPr>
      <w:r>
        <w:rPr>
          <w:sz w:val="20"/>
        </w:rPr>
        <w:t xml:space="preserve">в течение пяти рабочих дней со дня опубликования на сайте протокола вскрытия конвертов - протокол оценки и сопоставления заявок.</w:t>
      </w:r>
    </w:p>
    <w:p>
      <w:pPr>
        <w:pStyle w:val="0"/>
        <w:jc w:val="both"/>
      </w:pPr>
      <w:r>
        <w:rPr>
          <w:sz w:val="20"/>
        </w:rPr>
        <w:t xml:space="preserve">(п. 9 в ред. </w:t>
      </w:r>
      <w:r>
        <w:rPr>
          <w:sz w:val="20"/>
        </w:rPr>
        <w:t xml:space="preserve">постановления</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10. Конкурсная комиссия проводит свои заседания в сроки и в порядке, которые определены соответствующей конкурсной документацией, а также настоящим Порядком.</w:t>
      </w:r>
    </w:p>
    <w:p>
      <w:pPr>
        <w:pStyle w:val="0"/>
        <w:spacing w:before="200" w:lineRule="auto"/>
        <w:ind w:firstLine="540"/>
        <w:jc w:val="both"/>
      </w:pPr>
      <w:r>
        <w:rPr>
          <w:sz w:val="20"/>
        </w:rPr>
        <w:t xml:space="preserve">11. В состав конкурсной комиссии входит не менее 5 человек. Конкурсную комиссию возглавляет председатель.</w:t>
      </w:r>
    </w:p>
    <w:p>
      <w:pPr>
        <w:pStyle w:val="0"/>
        <w:spacing w:before="200" w:lineRule="auto"/>
        <w:ind w:firstLine="540"/>
        <w:jc w:val="both"/>
      </w:pPr>
      <w:r>
        <w:rPr>
          <w:sz w:val="20"/>
        </w:rPr>
        <w:t xml:space="preserve">12. Председателем конкурсной комиссии является министр топливно-энергетического комплекса и жилищно-коммунального хозяйства Архангельской области. Председатель конкурсной комиссии руководит деятельностью комиссии и организует ее работу в соответствии с настоящим Порядком.</w:t>
      </w:r>
    </w:p>
    <w:p>
      <w:pPr>
        <w:pStyle w:val="0"/>
        <w:spacing w:before="200" w:lineRule="auto"/>
        <w:ind w:firstLine="540"/>
        <w:jc w:val="both"/>
      </w:pPr>
      <w:r>
        <w:rPr>
          <w:sz w:val="20"/>
        </w:rPr>
        <w:t xml:space="preserve">13. Заседание конкурсной комиссии проводит председатель комиссии. В случае отсутствия председателя заседание конкурсной комиссии проводит заместитель председателя комиссии, назначаемый из числа сотрудников министерства.</w:t>
      </w:r>
    </w:p>
    <w:p>
      <w:pPr>
        <w:pStyle w:val="0"/>
        <w:spacing w:before="200" w:lineRule="auto"/>
        <w:ind w:firstLine="540"/>
        <w:jc w:val="both"/>
      </w:pPr>
      <w:r>
        <w:rPr>
          <w:sz w:val="20"/>
        </w:rPr>
        <w:t xml:space="preserve">14. Решения конкурсной комиссии считаются правомочными, если на ее заседании присутствует не менее двух третей членов комиссии.</w:t>
      </w:r>
    </w:p>
    <w:p>
      <w:pPr>
        <w:pStyle w:val="0"/>
        <w:spacing w:before="200" w:lineRule="auto"/>
        <w:ind w:firstLine="540"/>
        <w:jc w:val="both"/>
      </w:pPr>
      <w:r>
        <w:rPr>
          <w:sz w:val="20"/>
        </w:rPr>
        <w:t xml:space="preserve">15. Решения конкурсной комиссии принимаются, если за их принятие проголосовали не менее половины присутствующих на заседании членов конкурсной комиссии. При равенстве голосов голос председательствующего на заседании является решающим.</w:t>
      </w:r>
    </w:p>
    <w:p>
      <w:pPr>
        <w:pStyle w:val="0"/>
        <w:spacing w:before="200" w:lineRule="auto"/>
        <w:ind w:firstLine="540"/>
        <w:jc w:val="both"/>
      </w:pPr>
      <w:r>
        <w:rPr>
          <w:sz w:val="20"/>
        </w:rPr>
        <w:t xml:space="preserve">16. Решения конкурсной комиссии оформляются протоколами. Секретарь конкурсной комиссии, назначенный председателем конкурсной комиссии (заместителем председателя - в случае отсутствия председателя), обеспечивает подготовку протокола заседания конкурсной комиссии и представление его после проведения заседания на подпись председательствующему и членам комиссии. Протоколы подписываются всеми присутствующими на заседании членами комиссии. В протоколах указываются особые мнения членов конкурсной комиссии при их наличии.</w:t>
      </w:r>
    </w:p>
    <w:p>
      <w:pPr>
        <w:pStyle w:val="0"/>
        <w:spacing w:before="200" w:lineRule="auto"/>
        <w:ind w:firstLine="540"/>
        <w:jc w:val="both"/>
      </w:pPr>
      <w:r>
        <w:rPr>
          <w:sz w:val="20"/>
        </w:rPr>
        <w:t xml:space="preserve">17. Исключен. - </w:t>
      </w:r>
      <w:r>
        <w:rPr>
          <w:sz w:val="20"/>
        </w:rPr>
        <w:t xml:space="preserve">Постановление</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18. Конкурсная документация включает в себя:</w:t>
      </w:r>
    </w:p>
    <w:p>
      <w:pPr>
        <w:pStyle w:val="0"/>
        <w:spacing w:before="200" w:lineRule="auto"/>
        <w:ind w:firstLine="540"/>
        <w:jc w:val="both"/>
      </w:pPr>
      <w:r>
        <w:rPr>
          <w:sz w:val="20"/>
        </w:rPr>
        <w:t xml:space="preserve">требования к участникам открытого конкурса;</w:t>
      </w:r>
    </w:p>
    <w:p>
      <w:pPr>
        <w:pStyle w:val="0"/>
        <w:spacing w:before="200" w:lineRule="auto"/>
        <w:ind w:firstLine="540"/>
        <w:jc w:val="both"/>
      </w:pPr>
      <w:r>
        <w:rPr>
          <w:sz w:val="20"/>
        </w:rPr>
        <w:t xml:space="preserve">требования к составу, форме и порядку подачи заявок на участие в открытом конкурсе;</w:t>
      </w:r>
    </w:p>
    <w:p>
      <w:pPr>
        <w:pStyle w:val="0"/>
        <w:spacing w:before="200" w:lineRule="auto"/>
        <w:ind w:firstLine="540"/>
        <w:jc w:val="both"/>
      </w:pPr>
      <w:r>
        <w:rPr>
          <w:sz w:val="20"/>
        </w:rPr>
        <w:t xml:space="preserve">порядок проведения открытого конкурса, критерии отбора, порядок оформления результатов открытого конкурса и заключения договора;</w:t>
      </w:r>
    </w:p>
    <w:p>
      <w:pPr>
        <w:pStyle w:val="0"/>
        <w:spacing w:before="200" w:lineRule="auto"/>
        <w:ind w:firstLine="540"/>
        <w:jc w:val="both"/>
      </w:pPr>
      <w:r>
        <w:rPr>
          <w:sz w:val="20"/>
        </w:rPr>
        <w:t xml:space="preserve">проект договора с аудиторской организацией;</w:t>
      </w:r>
    </w:p>
    <w:p>
      <w:pPr>
        <w:pStyle w:val="0"/>
        <w:spacing w:before="200" w:lineRule="auto"/>
        <w:ind w:firstLine="540"/>
        <w:jc w:val="both"/>
      </w:pPr>
      <w:r>
        <w:rPr>
          <w:sz w:val="20"/>
        </w:rPr>
        <w:t xml:space="preserve">другая дополнительная информация.</w:t>
      </w:r>
    </w:p>
    <w:p>
      <w:pPr>
        <w:pStyle w:val="0"/>
        <w:spacing w:before="200" w:lineRule="auto"/>
        <w:ind w:firstLine="540"/>
        <w:jc w:val="both"/>
      </w:pPr>
      <w:r>
        <w:rPr>
          <w:sz w:val="20"/>
        </w:rPr>
        <w:t xml:space="preserve">19. Извещение о проведении конкурсного отбора размещается министерством на официальном сайте в информационно-телекоммуникационной сети "Интернет" не менее чем за 30 календарных дней до проведения конкурсного отбора.</w:t>
      </w:r>
    </w:p>
    <w:p>
      <w:pPr>
        <w:pStyle w:val="0"/>
        <w:spacing w:before="200" w:lineRule="auto"/>
        <w:ind w:firstLine="540"/>
        <w:jc w:val="both"/>
      </w:pPr>
      <w:r>
        <w:rPr>
          <w:sz w:val="20"/>
        </w:rPr>
        <w:t xml:space="preserve">20. Информация о проведении конкурсного отбора дополнительно может размещаться в других печатных и электронных средствах массовой информации либо распространяться претендентам на участие в конкурсе путем индивидуальной адресной рассылки.</w:t>
      </w:r>
    </w:p>
    <w:p>
      <w:pPr>
        <w:pStyle w:val="0"/>
        <w:spacing w:before="200" w:lineRule="auto"/>
        <w:ind w:firstLine="540"/>
        <w:jc w:val="both"/>
      </w:pPr>
      <w:r>
        <w:rPr>
          <w:sz w:val="20"/>
        </w:rPr>
        <w:t xml:space="preserve">21. Извещение должно содержать информацию о форме торгов, о правовом акте министерства, которым утверждается конкурсная документация по проведению конкурсного отбора, конкурсную документацию, информацию о предмете, времени, месте проведения конкурсного отбора, сведения о начальной максимальной цене договора, порядке проведения конкурсного отбора, критерии оценки заявок, срок заключения договора, срок исполнения договора (не позднее 30 марта года, следующего за отчетным периодом), срок отказа министерства от проведения конкурсного отбора, иная информация.</w:t>
      </w:r>
    </w:p>
    <w:p>
      <w:pPr>
        <w:pStyle w:val="0"/>
        <w:spacing w:before="200" w:lineRule="auto"/>
        <w:ind w:firstLine="540"/>
        <w:jc w:val="both"/>
      </w:pPr>
      <w:r>
        <w:rPr>
          <w:sz w:val="20"/>
        </w:rPr>
        <w:t xml:space="preserve">22. Министерство вправе отказаться от проведения открытого конкурса не позднее чем за пятнадцать дней до его проведения.</w:t>
      </w:r>
    </w:p>
    <w:p>
      <w:pPr>
        <w:pStyle w:val="0"/>
        <w:spacing w:before="200" w:lineRule="auto"/>
        <w:ind w:firstLine="540"/>
        <w:jc w:val="both"/>
      </w:pPr>
      <w:r>
        <w:rPr>
          <w:sz w:val="20"/>
        </w:rPr>
        <w:t xml:space="preserve">23. Министерство направляет протокол оценки и сопоставления заявок региональному оператору и победителю в течение трех календарных дней со дня опубликования на официальном сайте.</w:t>
      </w:r>
    </w:p>
    <w:p>
      <w:pPr>
        <w:pStyle w:val="0"/>
        <w:jc w:val="both"/>
      </w:pPr>
      <w:r>
        <w:rPr>
          <w:sz w:val="20"/>
        </w:rPr>
        <w:t xml:space="preserve">(п. 23 в ред. </w:t>
      </w:r>
      <w:r>
        <w:rPr>
          <w:sz w:val="20"/>
        </w:rPr>
        <w:t xml:space="preserve">постановления</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24. В течение десяти рабочих дней со дня размещения на официальном сайте протокола оценки и сопоставления заявок наблюдательный совет регионального оператора утверждает договор о проведении аудита годовой бухгалтерской (финансовой) отчетности регионального оператора с аудиторской организацией (аудитором), признанной победителем конкурса, и направляет его на подписание региональному оператору.</w:t>
      </w:r>
    </w:p>
    <w:p>
      <w:pPr>
        <w:pStyle w:val="0"/>
        <w:jc w:val="both"/>
      </w:pPr>
      <w:r>
        <w:rPr>
          <w:sz w:val="20"/>
        </w:rPr>
        <w:t xml:space="preserve">(п. 24 в ред. </w:t>
      </w:r>
      <w:r>
        <w:rPr>
          <w:sz w:val="20"/>
        </w:rPr>
        <w:t xml:space="preserve">постановления</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25. Договор с победителем конкурсного отбора должен быть подписан региональным оператором не позднее трех дней со дня утверждения его наблюдательным советом регионального оператора.</w:t>
      </w:r>
    </w:p>
    <w:p>
      <w:pPr>
        <w:pStyle w:val="0"/>
        <w:spacing w:before="200" w:lineRule="auto"/>
        <w:ind w:firstLine="540"/>
        <w:jc w:val="both"/>
      </w:pPr>
      <w:r>
        <w:rPr>
          <w:sz w:val="20"/>
        </w:rPr>
        <w:t xml:space="preserve">В течение трех дней после получения договора от регионального оператора победитель конкурса подписывает и представляет его в адрес регионального оператора.</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19.01.2016 N 5-пп)</w:t>
      </w:r>
    </w:p>
    <w:p>
      <w:pPr>
        <w:pStyle w:val="0"/>
        <w:spacing w:before="200" w:lineRule="auto"/>
        <w:ind w:firstLine="540"/>
        <w:jc w:val="both"/>
      </w:pPr>
      <w:r>
        <w:rPr>
          <w:sz w:val="20"/>
        </w:rPr>
        <w:t xml:space="preserve">26. Оплата услуг аудиторской организации осуществляется за счет средств регионального оператора, за исключением средств, полученных в виде платежей собственников помещений, формирующих фонды капитального ремонта на счете регионального оператора.</w:t>
      </w:r>
    </w:p>
    <w:p>
      <w:pPr>
        <w:pStyle w:val="0"/>
        <w:spacing w:before="200" w:lineRule="auto"/>
        <w:ind w:firstLine="540"/>
        <w:jc w:val="both"/>
      </w:pPr>
      <w:r>
        <w:rPr>
          <w:sz w:val="20"/>
        </w:rPr>
        <w:t xml:space="preserve">27. Аудиторское заключение передается аудиторской организацией региональному оператору с оформлением акта приемки выполненных работ (оказанных услуг).</w:t>
      </w:r>
    </w:p>
    <w:p>
      <w:pPr>
        <w:pStyle w:val="0"/>
        <w:spacing w:before="200" w:lineRule="auto"/>
        <w:ind w:firstLine="540"/>
        <w:jc w:val="both"/>
      </w:pPr>
      <w:r>
        <w:rPr>
          <w:sz w:val="20"/>
        </w:rPr>
        <w:t xml:space="preserve">28. Региональный оператор не позднее чем через пять дней со дня представления аудиторского заключения аудиторской организацией обязан направить копию аудиторского заключения в государственную жилищную инспекцию Архангельской области.</w:t>
      </w:r>
    </w:p>
    <w:p>
      <w:pPr>
        <w:pStyle w:val="0"/>
        <w:jc w:val="both"/>
      </w:pPr>
      <w:r>
        <w:rPr>
          <w:sz w:val="20"/>
        </w:rPr>
        <w:t xml:space="preserve">(п. 28 в ред. </w:t>
      </w:r>
      <w:r>
        <w:rPr>
          <w:sz w:val="20"/>
        </w:rPr>
        <w:t xml:space="preserve">постановления</w:t>
      </w:r>
      <w:r>
        <w:rPr>
          <w:sz w:val="20"/>
        </w:rPr>
        <w:t xml:space="preserve"> Правительства Архангельской области от 28.09.2020 N 606-пп)</w:t>
      </w:r>
    </w:p>
    <w:p>
      <w:pPr>
        <w:pStyle w:val="0"/>
        <w:spacing w:before="200" w:lineRule="auto"/>
        <w:ind w:firstLine="540"/>
        <w:jc w:val="both"/>
      </w:pPr>
      <w:r>
        <w:rPr>
          <w:sz w:val="20"/>
        </w:rPr>
        <w:t xml:space="preserve">29. Годовой отчет регионального оператора включает в себя:</w:t>
      </w:r>
    </w:p>
    <w:p>
      <w:pPr>
        <w:pStyle w:val="0"/>
        <w:spacing w:before="200" w:lineRule="auto"/>
        <w:ind w:firstLine="540"/>
        <w:jc w:val="both"/>
      </w:pPr>
      <w:r>
        <w:rPr>
          <w:sz w:val="20"/>
        </w:rPr>
        <w:t xml:space="preserve">отчет о деятельности регионального оператора за прошедший отчетный период;</w:t>
      </w:r>
    </w:p>
    <w:p>
      <w:pPr>
        <w:pStyle w:val="0"/>
        <w:spacing w:before="200" w:lineRule="auto"/>
        <w:ind w:firstLine="540"/>
        <w:jc w:val="both"/>
      </w:pPr>
      <w:r>
        <w:rPr>
          <w:sz w:val="20"/>
        </w:rPr>
        <w:t xml:space="preserve">годовую бухгалтерскую (финансовую) отчетность регионального оператора;</w:t>
      </w:r>
    </w:p>
    <w:p>
      <w:pPr>
        <w:pStyle w:val="0"/>
        <w:spacing w:before="200" w:lineRule="auto"/>
        <w:ind w:firstLine="540"/>
        <w:jc w:val="both"/>
      </w:pPr>
      <w:r>
        <w:rPr>
          <w:sz w:val="20"/>
        </w:rPr>
        <w:t xml:space="preserve">аудиторское заключение по годовой бухгалтерской (финансовой) отчетности регионального оператора.</w:t>
      </w:r>
    </w:p>
    <w:p>
      <w:pPr>
        <w:pStyle w:val="0"/>
        <w:spacing w:before="200" w:lineRule="auto"/>
        <w:ind w:firstLine="540"/>
        <w:jc w:val="both"/>
      </w:pPr>
      <w:r>
        <w:rPr>
          <w:sz w:val="20"/>
        </w:rPr>
        <w:t xml:space="preserve">30. Годовой отчет регионального оператора подготавливается и рассматривается правлением регионального оператора ежегодно, не позднее 1 апреля года, следующего за отчетным годом, и направляется в наблюдательный совет регионального оператора, который утверждает его в срок до 1 мая года, следующего за отчетным годом.</w:t>
      </w:r>
    </w:p>
    <w:p>
      <w:pPr>
        <w:pStyle w:val="0"/>
        <w:jc w:val="both"/>
      </w:pPr>
      <w:r>
        <w:rPr>
          <w:sz w:val="20"/>
        </w:rPr>
        <w:t xml:space="preserve">(п. 30 в ред. </w:t>
      </w:r>
      <w:r>
        <w:rPr>
          <w:sz w:val="20"/>
        </w:rPr>
        <w:t xml:space="preserve">постановления</w:t>
      </w:r>
      <w:r>
        <w:rPr>
          <w:sz w:val="20"/>
        </w:rPr>
        <w:t xml:space="preserve"> Правительства Архангельской области от 28.09.2020 N 606-пп)</w:t>
      </w:r>
    </w:p>
    <w:p>
      <w:pPr>
        <w:pStyle w:val="0"/>
        <w:spacing w:before="200" w:lineRule="auto"/>
        <w:ind w:firstLine="540"/>
        <w:jc w:val="both"/>
      </w:pPr>
      <w:r>
        <w:rPr>
          <w:sz w:val="20"/>
        </w:rPr>
        <w:t xml:space="preserve">31. Годовой отчет регионального оператора и аудиторское заключение размещаются на официальном сайте регионального оператора в информационно-телекоммуникационной сети "Интернет" до 1 июня года, следующего за отчетным годом, с учетом требований законодательства Российской Федерации о государственной, коммерческой и иной охраняемой законом тайне.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29.12.2014 N 595-пп</w:t>
            <w:br/>
            <w:t>(ред. от 28.09.2020)</w:t>
            <w:br/>
            <w:t>"Об утверждении Порядка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29.12.2014 N 595-пп
(ред. от 28.09.2020)
"Об утверждении Порядка принятия решения о проведении аудита годовой бухгалтерской (финансовой) отчетности регионального оператора, отбора аудиторской организации (аудитора), утверждения договора с аудиторской организацией (аудитором)"</dc:title>
  <dcterms:created xsi:type="dcterms:W3CDTF">2026-05-21T09:02:54Z</dcterms:created>
</cp:coreProperties>
</file>