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pPr>
      <w:r>
        <w:rPr>
          <w:sz w:val="20"/>
          <w:b w:val="on"/>
        </w:rPr>
        <w:t xml:space="preserve">Название документа</w:t>
      </w:r>
    </w:p>
    <w:p>
      <w:pPr>
        <w:pStyle w:val="0"/>
        <w:jc w:val="both"/>
      </w:pPr>
      <w:r>
        <w:rPr>
          <w:sz w:val="20"/>
        </w:rPr>
        <w:t xml:space="preserve">Распоряжение Правительства РФ от 31.10.2022 N 3268-р</w:t>
      </w:r>
    </w:p>
    <w:p>
      <w:pPr>
        <w:pStyle w:val="0"/>
        <w:jc w:val="both"/>
      </w:pPr>
      <w:r>
        <w:rPr>
          <w:sz w:val="20"/>
        </w:rPr>
        <w:t xml:space="preserve">(ред. от 23.10.2025)</w:t>
      </w:r>
    </w:p>
    <w:p>
      <w:pPr>
        <w:pStyle w:val="0"/>
        <w:jc w:val="both"/>
      </w:pPr>
      <w:r>
        <w:rPr>
          <w:sz w:val="20"/>
        </w:rPr>
        <w:t xml:space="preserve">&lt;Об утверждении Стратегии развития строительной отрасли и жилищно-коммунального хозяйства Российской Федерации на период до 2030 года с прогнозом до 2035 года&gt;</w:t>
      </w:r>
    </w:p>
    <w:p>
      <w:pPr>
        <w:pStyle w:val="0"/>
      </w:pPr>
      <w:r>
        <w:rPr>
          <w:sz w:val="20"/>
          <w:b w:val="on"/>
        </w:rPr>
        <w:t xml:space="preserve">Источник публикации</w:t>
      </w:r>
    </w:p>
    <w:p>
      <w:pPr>
        <w:pStyle w:val="0"/>
        <w:jc w:val="both"/>
      </w:pPr>
      <w:r>
        <w:rPr>
          <w:sz w:val="20"/>
        </w:rPr>
        <w:t xml:space="preserve">В данном виде документ опубликован не был.</w:t>
      </w:r>
    </w:p>
    <w:p>
      <w:pPr>
        <w:pStyle w:val="0"/>
        <w:jc w:val="both"/>
      </w:pPr>
      <w:r>
        <w:rPr>
          <w:sz w:val="20"/>
        </w:rPr>
        <w:t xml:space="preserve">Первоначальный текст документа опубликован в изданиях</w:t>
      </w:r>
    </w:p>
    <w:p>
      <w:pPr>
        <w:pStyle w:val="0"/>
        <w:jc w:val="both"/>
      </w:pPr>
      <w:r>
        <w:rPr>
          <w:sz w:val="20"/>
        </w:rPr>
        <w:t xml:space="preserve">Официальный интернет-портал правовой информации </w:t>
      </w:r>
      <w:r>
        <w:rPr>
          <w:sz w:val="20"/>
        </w:rPr>
        <w:t xml:space="preserve">http://pravo.gov.ru</w:t>
      </w:r>
      <w:r>
        <w:rPr>
          <w:sz w:val="20"/>
        </w:rPr>
        <w:t xml:space="preserve">, 02.11.2022,</w:t>
      </w:r>
    </w:p>
    <w:p>
      <w:pPr>
        <w:pStyle w:val="0"/>
        <w:jc w:val="both"/>
      </w:pPr>
      <w:r>
        <w:rPr>
          <w:sz w:val="20"/>
        </w:rPr>
        <w:t xml:space="preserve">"Собрание законодательства РФ", 07.11.2022, N 45, ст. 7815.</w:t>
      </w:r>
    </w:p>
    <w:p>
      <w:pPr>
        <w:pStyle w:val="0"/>
        <w:jc w:val="both"/>
      </w:pPr>
      <w:r>
        <w:rPr>
          <w:sz w:val="20"/>
        </w:rPr>
        <w:t xml:space="preserve">Информацию о публикации документов, создающих данную редакцию, см. в справке к этим документам.</w:t>
      </w:r>
    </w:p>
    <w:p>
      <w:pPr>
        <w:pStyle w:val="0"/>
      </w:pPr>
      <w:r>
        <w:rPr>
          <w:sz w:val="20"/>
          <w:b w:val="on"/>
        </w:rPr>
        <w:t xml:space="preserve">Примечание к документу</w:t>
      </w:r>
    </w:p>
    <w:p>
      <w:pPr>
        <w:pStyle w:val="0"/>
        <w:jc w:val="both"/>
      </w:pPr>
      <w:r>
        <w:rPr>
          <w:sz w:val="20"/>
        </w:rPr>
        <w:t xml:space="preserve">Начало действия редакции - 23.10.2025.</w:t>
      </w:r>
    </w:p>
    <w:p>
      <w:pPr>
        <w:pStyle w:val="0"/>
        <w:jc w:val="both"/>
      </w:pPr>
      <w:r>
        <w:rPr>
          <w:sz w:val="20"/>
        </w:rPr>
        <w:t xml:space="preserve">Изменения, внесенные </w:t>
      </w:r>
      <w:r>
        <w:rPr>
          <w:sz w:val="20"/>
        </w:rPr>
        <w:t xml:space="preserve">распоряжением</w:t>
      </w:r>
      <w:r>
        <w:rPr>
          <w:sz w:val="20"/>
        </w:rPr>
        <w:t xml:space="preserve"> Правительства РФ от 23.10.2025 N 2976-р, </w:t>
      </w:r>
      <w:r>
        <w:rPr>
          <w:sz w:val="20"/>
        </w:rPr>
        <w:t xml:space="preserve">вступили</w:t>
      </w:r>
      <w:r>
        <w:rPr>
          <w:sz w:val="20"/>
        </w:rPr>
        <w:t xml:space="preserve"> в силу с 23 октября 2025 года.</w:t>
      </w:r>
    </w:p>
    <w:p>
      <w:pPr>
        <w:pStyle w:val="0"/>
        <w:spacing w:before="200" w:lineRule="auto"/>
      </w:pPr>
      <w:r>
        <w:rPr>
          <w:sz w:val="20"/>
          <w:b w:val="on"/>
        </w:rPr>
        <w:t xml:space="preserve">Текст документа</w:t>
      </w: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РАСПОРЯЖЕНИЕ</w:t>
      </w:r>
    </w:p>
    <w:p>
      <w:pPr>
        <w:pStyle w:val="2"/>
        <w:jc w:val="center"/>
      </w:pPr>
      <w:r>
        <w:rPr>
          <w:sz w:val="20"/>
        </w:rPr>
        <w:t xml:space="preserve">от 31 октября 2022 г. N 3268-р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20.09.2023 </w:t>
            </w:r>
            <w:r>
              <w:rPr>
                <w:sz w:val="20"/>
                <w:color w:val="392c69"/>
              </w:rPr>
              <w:t xml:space="preserve">N 1529</w:t>
            </w:r>
            <w:r>
              <w:rPr>
                <w:sz w:val="20"/>
                <w:color w:val="392c69"/>
              </w:rPr>
              <w:t xml:space="preserve">,</w:t>
            </w:r>
          </w:p>
          <w:p>
            <w:pPr>
              <w:pStyle w:val="0"/>
              <w:jc w:val="center"/>
            </w:pPr>
            <w:r>
              <w:rPr>
                <w:sz w:val="20"/>
                <w:color w:val="392c69"/>
              </w:rPr>
              <w:t xml:space="preserve">от 29.11.2023 </w:t>
            </w:r>
            <w:r>
              <w:rPr>
                <w:sz w:val="20"/>
                <w:color w:val="392c69"/>
              </w:rPr>
              <w:t xml:space="preserve">N 2023</w:t>
            </w:r>
            <w:r>
              <w:rPr>
                <w:sz w:val="20"/>
                <w:color w:val="392c69"/>
              </w:rPr>
              <w:t xml:space="preserve">,</w:t>
            </w:r>
          </w:p>
          <w:p>
            <w:pPr>
              <w:pStyle w:val="0"/>
              <w:jc w:val="center"/>
            </w:pPr>
            <w:r>
              <w:rPr>
                <w:sz w:val="20"/>
                <w:color w:val="392c69"/>
              </w:rPr>
              <w:t xml:space="preserve">распоряжений Правительства РФ от 21.10.2024 </w:t>
            </w:r>
            <w:r>
              <w:rPr>
                <w:sz w:val="20"/>
                <w:color w:val="392c69"/>
              </w:rPr>
              <w:t xml:space="preserve">N 2963-р</w:t>
            </w:r>
            <w:r>
              <w:rPr>
                <w:sz w:val="20"/>
                <w:color w:val="392c69"/>
              </w:rPr>
              <w:t xml:space="preserve">,</w:t>
            </w:r>
          </w:p>
          <w:p>
            <w:pPr>
              <w:pStyle w:val="0"/>
              <w:jc w:val="center"/>
            </w:pPr>
            <w:r>
              <w:rPr>
                <w:sz w:val="20"/>
                <w:color w:val="392c69"/>
              </w:rPr>
              <w:t xml:space="preserve">от 23.10.2025 </w:t>
            </w:r>
            <w:r>
              <w:rPr>
                <w:sz w:val="20"/>
                <w:color w:val="392c69"/>
              </w:rPr>
              <w:t xml:space="preserve">N 2976-р</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Утвердить прилагаемую </w:t>
      </w:r>
      <w:r>
        <w:rPr>
          <w:sz w:val="20"/>
        </w:rPr>
        <w:t xml:space="preserve">Стратегию</w:t>
      </w:r>
      <w:r>
        <w:rPr>
          <w:sz w:val="20"/>
        </w:rPr>
        <w:t xml:space="preserve"> развития строительной отрасли и жилищно-коммунального хозяйства Российской Федерации на период до 2030 года с прогнозом до 2035 года (далее - Стратегия).</w:t>
      </w:r>
    </w:p>
    <w:p>
      <w:pPr>
        <w:pStyle w:val="0"/>
        <w:spacing w:before="200" w:lineRule="auto"/>
        <w:ind w:firstLine="540"/>
        <w:jc w:val="both"/>
      </w:pPr>
      <w:r>
        <w:rPr>
          <w:sz w:val="20"/>
        </w:rPr>
        <w:t xml:space="preserve">2. Федеральным органам исполнительной власти руководствоваться положениями </w:t>
      </w:r>
      <w:r>
        <w:rPr>
          <w:sz w:val="20"/>
        </w:rPr>
        <w:t xml:space="preserve">Стратегии</w:t>
      </w:r>
      <w:r>
        <w:rPr>
          <w:sz w:val="20"/>
        </w:rPr>
        <w:t xml:space="preserve"> при разработке и реализации государственных программ Российской Федерации и иных документов.</w:t>
      </w:r>
    </w:p>
    <w:p>
      <w:pPr>
        <w:pStyle w:val="0"/>
        <w:spacing w:before="200" w:lineRule="auto"/>
        <w:ind w:firstLine="540"/>
        <w:jc w:val="both"/>
      </w:pPr>
      <w:r>
        <w:rPr>
          <w:sz w:val="20"/>
        </w:rPr>
        <w:t xml:space="preserve">3. Рекомендовать органам государственной власти субъектов Российской Федерации руководствоваться положениями </w:t>
      </w:r>
      <w:r>
        <w:rPr>
          <w:sz w:val="20"/>
        </w:rPr>
        <w:t xml:space="preserve">Стратегии</w:t>
      </w:r>
      <w:r>
        <w:rPr>
          <w:sz w:val="20"/>
        </w:rPr>
        <w:t xml:space="preserve"> при разработке и реализации государственных программ субъектов Российской Федерации и иных документов.</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распоряжением Правительства</w:t>
      </w:r>
    </w:p>
    <w:p>
      <w:pPr>
        <w:pStyle w:val="0"/>
        <w:jc w:val="right"/>
      </w:pPr>
      <w:r>
        <w:rPr>
          <w:sz w:val="20"/>
        </w:rPr>
        <w:t xml:space="preserve">Российской Федерации</w:t>
      </w:r>
    </w:p>
    <w:p>
      <w:pPr>
        <w:pStyle w:val="0"/>
        <w:jc w:val="right"/>
      </w:pPr>
      <w:r>
        <w:rPr>
          <w:sz w:val="20"/>
        </w:rPr>
        <w:t xml:space="preserve">от 31 октября 2022 г. N 3268-р</w:t>
      </w:r>
    </w:p>
    <w:p>
      <w:pPr>
        <w:pStyle w:val="0"/>
        <w:jc w:val="both"/>
      </w:pPr>
      <w:r>
        <w:rPr>
          <w:sz w:val="20"/>
        </w:rPr>
      </w:r>
    </w:p>
    <w:bookmarkStart w:id="42" w:name="P42"/>
    <w:bookmarkEnd w:id="42"/>
    <w:p>
      <w:pPr>
        <w:pStyle w:val="2"/>
        <w:jc w:val="center"/>
      </w:pPr>
      <w:r>
        <w:rPr>
          <w:sz w:val="20"/>
        </w:rPr>
        <w:t xml:space="preserve">СТРАТЕГИЯ</w:t>
      </w:r>
    </w:p>
    <w:p>
      <w:pPr>
        <w:pStyle w:val="2"/>
        <w:jc w:val="center"/>
      </w:pPr>
      <w:r>
        <w:rPr>
          <w:sz w:val="20"/>
        </w:rPr>
        <w:t xml:space="preserve">РАЗВИТИЯ СТРОИТЕЛЬНОЙ ОТРАСЛИ И ЖИЛИЩНО-КОММУНАЛЬНОГО</w:t>
      </w:r>
    </w:p>
    <w:p>
      <w:pPr>
        <w:pStyle w:val="2"/>
        <w:jc w:val="center"/>
      </w:pPr>
      <w:r>
        <w:rPr>
          <w:sz w:val="20"/>
        </w:rPr>
        <w:t xml:space="preserve">ХОЗЯЙСТВА РОССИЙСКОЙ ФЕДЕРАЦИИ НА ПЕРИОД ДО 2030 ГОДА</w:t>
      </w:r>
    </w:p>
    <w:p>
      <w:pPr>
        <w:pStyle w:val="2"/>
        <w:jc w:val="center"/>
      </w:pPr>
      <w:r>
        <w:rPr>
          <w:sz w:val="20"/>
        </w:rPr>
        <w:t xml:space="preserve">С ПРОГНОЗОМ ДО 2035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20.09.2023 </w:t>
            </w:r>
            <w:r>
              <w:rPr>
                <w:sz w:val="20"/>
                <w:color w:val="392c69"/>
              </w:rPr>
              <w:t xml:space="preserve">N 1529</w:t>
            </w:r>
            <w:r>
              <w:rPr>
                <w:sz w:val="20"/>
                <w:color w:val="392c69"/>
              </w:rPr>
              <w:t xml:space="preserve">,</w:t>
            </w:r>
          </w:p>
          <w:p>
            <w:pPr>
              <w:pStyle w:val="0"/>
              <w:jc w:val="center"/>
            </w:pPr>
            <w:r>
              <w:rPr>
                <w:sz w:val="20"/>
                <w:color w:val="392c69"/>
              </w:rPr>
              <w:t xml:space="preserve">от 29.11.2023 </w:t>
            </w:r>
            <w:r>
              <w:rPr>
                <w:sz w:val="20"/>
                <w:color w:val="392c69"/>
              </w:rPr>
              <w:t xml:space="preserve">N 2023</w:t>
            </w:r>
            <w:r>
              <w:rPr>
                <w:sz w:val="20"/>
                <w:color w:val="392c69"/>
              </w:rPr>
              <w:t xml:space="preserve">,</w:t>
            </w:r>
          </w:p>
          <w:p>
            <w:pPr>
              <w:pStyle w:val="0"/>
              <w:jc w:val="center"/>
            </w:pPr>
            <w:r>
              <w:rPr>
                <w:sz w:val="20"/>
                <w:color w:val="392c69"/>
              </w:rPr>
              <w:t xml:space="preserve">распоряжений Правительства РФ от 21.10.2024 </w:t>
            </w:r>
            <w:r>
              <w:rPr>
                <w:sz w:val="20"/>
                <w:color w:val="392c69"/>
              </w:rPr>
              <w:t xml:space="preserve">N 2963-р</w:t>
            </w:r>
            <w:r>
              <w:rPr>
                <w:sz w:val="20"/>
                <w:color w:val="392c69"/>
              </w:rPr>
              <w:t xml:space="preserve">,</w:t>
            </w:r>
          </w:p>
          <w:p>
            <w:pPr>
              <w:pStyle w:val="0"/>
              <w:jc w:val="center"/>
            </w:pPr>
            <w:r>
              <w:rPr>
                <w:sz w:val="20"/>
                <w:color w:val="392c69"/>
              </w:rPr>
              <w:t xml:space="preserve">от 23.10.2025 </w:t>
            </w:r>
            <w:r>
              <w:rPr>
                <w:sz w:val="20"/>
                <w:color w:val="392c69"/>
              </w:rPr>
              <w:t xml:space="preserve">N 2976-р</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2"/>
        <w:outlineLvl w:val="2"/>
        <w:jc w:val="center"/>
      </w:pPr>
      <w:r>
        <w:rPr>
          <w:sz w:val="20"/>
        </w:rPr>
        <w:t xml:space="preserve">1. Введение</w:t>
      </w:r>
    </w:p>
    <w:p>
      <w:pPr>
        <w:pStyle w:val="0"/>
        <w:jc w:val="both"/>
      </w:pPr>
      <w:r>
        <w:rPr>
          <w:sz w:val="20"/>
        </w:rPr>
      </w:r>
    </w:p>
    <w:p>
      <w:pPr>
        <w:pStyle w:val="0"/>
        <w:ind w:firstLine="540"/>
        <w:jc w:val="both"/>
      </w:pPr>
      <w:r>
        <w:rPr>
          <w:sz w:val="20"/>
        </w:rPr>
        <w:t xml:space="preserve">Стратегия развития строительной отрасли и жилищно-коммунального хозяйства Российской Федерации на период до 2030 года с прогнозом до 2035 года (далее - Стратегия) разработана в соответствии со </w:t>
      </w:r>
      <w:r>
        <w:rPr>
          <w:sz w:val="20"/>
        </w:rPr>
        <w:t xml:space="preserve">статьей 19</w:t>
      </w:r>
      <w:r>
        <w:rPr>
          <w:sz w:val="20"/>
        </w:rPr>
        <w:t xml:space="preserve"> Федерального закона "О стратегическом планировании в Российской Федерации".</w:t>
      </w:r>
    </w:p>
    <w:p>
      <w:pPr>
        <w:pStyle w:val="0"/>
        <w:spacing w:before="200" w:lineRule="auto"/>
        <w:ind w:firstLine="540"/>
        <w:jc w:val="both"/>
      </w:pPr>
      <w:r>
        <w:rPr>
          <w:sz w:val="20"/>
        </w:rPr>
        <w:t xml:space="preserve">Стратегия разработана с учетом:</w:t>
      </w:r>
    </w:p>
    <w:p>
      <w:pPr>
        <w:pStyle w:val="0"/>
        <w:spacing w:before="200" w:lineRule="auto"/>
        <w:ind w:firstLine="540"/>
        <w:jc w:val="both"/>
      </w:pPr>
      <w:r>
        <w:rPr>
          <w:sz w:val="20"/>
        </w:rPr>
        <w:t xml:space="preserve">Стратегии</w:t>
      </w:r>
      <w:r>
        <w:rPr>
          <w:sz w:val="20"/>
        </w:rPr>
        <w:t xml:space="preserve"> научно-технологического развития Российской Федерации, утвержденной Указом Президента Российской Федерации от 28 февраля 2024 г. N 145 "О Стратегии научно-технологического развития Российской Федерации";</w:t>
      </w:r>
    </w:p>
    <w:p>
      <w:pPr>
        <w:pStyle w:val="0"/>
        <w:jc w:val="both"/>
      </w:pPr>
      <w:r>
        <w:rPr>
          <w:sz w:val="20"/>
        </w:rPr>
        <w:t xml:space="preserve">(в ред. </w:t>
      </w:r>
      <w:r>
        <w:rPr>
          <w:sz w:val="20"/>
        </w:rPr>
        <w:t xml:space="preserve">распоряжения</w:t>
      </w:r>
      <w:r>
        <w:rPr>
          <w:sz w:val="20"/>
        </w:rPr>
        <w:t xml:space="preserve"> Правительства РФ от 21.10.2024 N 2963-р)</w:t>
      </w:r>
    </w:p>
    <w:p>
      <w:pPr>
        <w:pStyle w:val="0"/>
        <w:spacing w:before="200" w:lineRule="auto"/>
        <w:ind w:firstLine="540"/>
        <w:jc w:val="both"/>
      </w:pPr>
      <w:r>
        <w:rPr>
          <w:sz w:val="20"/>
        </w:rPr>
        <w:t xml:space="preserve">Стратегии</w:t>
      </w:r>
      <w:r>
        <w:rPr>
          <w:sz w:val="20"/>
        </w:rPr>
        <w:t xml:space="preserve"> экологической безопасности Российской Федерации на период до 2025 года, утвержденной Указом Президента Российской Федерации от 19 апреля 2017 г. N 176 "О Стратегии экологической безопасности Российской Федерации на период до 2025 года";</w:t>
      </w:r>
    </w:p>
    <w:p>
      <w:pPr>
        <w:pStyle w:val="0"/>
        <w:spacing w:before="200" w:lineRule="auto"/>
        <w:ind w:firstLine="540"/>
        <w:jc w:val="both"/>
      </w:pPr>
      <w:r>
        <w:rPr>
          <w:sz w:val="20"/>
        </w:rPr>
        <w:t xml:space="preserve">Стратегии</w:t>
      </w:r>
      <w:r>
        <w:rPr>
          <w:sz w:val="20"/>
        </w:rPr>
        <w:t xml:space="preserve"> экономической безопасности Российской Федерации на период до 2030 года, утвержденной Указом Президента Российской Федерации от 13 мая 2017 г. N 208 "О Стратегии экономической безопасности Российской Федерации на период до 2030 года";</w:t>
      </w:r>
    </w:p>
    <w:p>
      <w:pPr>
        <w:pStyle w:val="0"/>
        <w:spacing w:before="200" w:lineRule="auto"/>
        <w:ind w:firstLine="540"/>
        <w:jc w:val="both"/>
      </w:pPr>
      <w:r>
        <w:rPr>
          <w:sz w:val="20"/>
        </w:rPr>
        <w:t xml:space="preserve">Стратегии</w:t>
      </w:r>
      <w:r>
        <w:rPr>
          <w:sz w:val="20"/>
        </w:rPr>
        <w:t xml:space="preserve"> национальной безопасности Российской Федерации, утвержденной Указом Президента Российской Федерации от 2 июля 2021 г. N 400 "О Стратегии национальной безопасности Российской Федерации";</w:t>
      </w:r>
    </w:p>
    <w:p>
      <w:pPr>
        <w:pStyle w:val="0"/>
        <w:spacing w:before="200" w:lineRule="auto"/>
        <w:ind w:firstLine="540"/>
        <w:jc w:val="both"/>
      </w:pPr>
      <w:r>
        <w:rPr>
          <w:sz w:val="20"/>
        </w:rPr>
        <w:t xml:space="preserve">Стратегии</w:t>
      </w:r>
      <w:r>
        <w:rPr>
          <w:sz w:val="20"/>
        </w:rPr>
        <w:t xml:space="preserve"> устойчивого развития сельских территорий Российской Федерации на период до 2030 года, утвержденной распоряжением Правительства Российской Федерации от 2 февраля 2015 г. N 151-р;</w:t>
      </w:r>
    </w:p>
    <w:p>
      <w:pPr>
        <w:pStyle w:val="0"/>
        <w:spacing w:before="200" w:lineRule="auto"/>
        <w:ind w:firstLine="540"/>
        <w:jc w:val="both"/>
      </w:pPr>
      <w:r>
        <w:rPr>
          <w:sz w:val="20"/>
        </w:rPr>
        <w:t xml:space="preserve">Стратегии</w:t>
      </w:r>
      <w:r>
        <w:rPr>
          <w:sz w:val="20"/>
        </w:rPr>
        <w:t xml:space="preserve"> развития промышленности строительных материалов на период до 2020 года и дальнейшую перспективу до 2030 года, утвержденной распоряжением Правительства Российской Федерации от 10 мая 2016 г. N 868-р;</w:t>
      </w:r>
    </w:p>
    <w:p>
      <w:pPr>
        <w:pStyle w:val="0"/>
        <w:spacing w:before="200" w:lineRule="auto"/>
        <w:ind w:firstLine="540"/>
        <w:jc w:val="both"/>
      </w:pPr>
      <w:r>
        <w:rPr>
          <w:sz w:val="20"/>
        </w:rPr>
        <w:t xml:space="preserve">Стратегии</w:t>
      </w:r>
      <w:r>
        <w:rPr>
          <w:sz w:val="20"/>
        </w:rPr>
        <w:t xml:space="preserve"> развития промышленности по обработке, утилизации и обезвреживанию отходов производства и потребления на период до 2030 года, утвержденной распоряжением Правительства Российской Федерации от 25 января 2018 г. N 84-р;</w:t>
      </w:r>
    </w:p>
    <w:p>
      <w:pPr>
        <w:pStyle w:val="0"/>
        <w:spacing w:before="200" w:lineRule="auto"/>
        <w:ind w:firstLine="540"/>
        <w:jc w:val="both"/>
      </w:pPr>
      <w:r>
        <w:rPr>
          <w:sz w:val="20"/>
        </w:rPr>
        <w:t xml:space="preserve">Стратегии</w:t>
      </w:r>
      <w:r>
        <w:rPr>
          <w:sz w:val="20"/>
        </w:rPr>
        <w:t xml:space="preserve"> пространственного развития Российской Федерации на период до 2025 года, утвержденной распоряжением Правительства Российской Федерации от 13 февраля 2019 г. N 207-р;</w:t>
      </w:r>
    </w:p>
    <w:p>
      <w:pPr>
        <w:pStyle w:val="0"/>
        <w:spacing w:before="200" w:lineRule="auto"/>
        <w:ind w:firstLine="540"/>
        <w:jc w:val="both"/>
      </w:pPr>
      <w:r>
        <w:rPr>
          <w:sz w:val="20"/>
        </w:rPr>
        <w:t xml:space="preserve">Стратегии</w:t>
      </w:r>
      <w:r>
        <w:rPr>
          <w:sz w:val="20"/>
        </w:rPr>
        <w:t xml:space="preserve"> развития туризма в Российской Федерации на период до 2035 года, утвержденной распоряжением Правительства Российской Федерации от 20 сентября 2019 г. N 2129-р;</w:t>
      </w:r>
    </w:p>
    <w:p>
      <w:pPr>
        <w:pStyle w:val="0"/>
        <w:spacing w:before="200" w:lineRule="auto"/>
        <w:ind w:firstLine="540"/>
        <w:jc w:val="both"/>
      </w:pPr>
      <w:r>
        <w:rPr>
          <w:sz w:val="20"/>
        </w:rPr>
        <w:t xml:space="preserve">Энергетической </w:t>
      </w:r>
      <w:r>
        <w:rPr>
          <w:sz w:val="20"/>
        </w:rPr>
        <w:t xml:space="preserve">стратегии</w:t>
      </w:r>
      <w:r>
        <w:rPr>
          <w:sz w:val="20"/>
        </w:rPr>
        <w:t xml:space="preserve"> Российской Федерации на период до 2035 года, утвержденной распоряжением Правительства Российской Федерации от 9 июня 2020 г. N 1523-р;</w:t>
      </w:r>
    </w:p>
    <w:p>
      <w:pPr>
        <w:pStyle w:val="0"/>
        <w:spacing w:before="200" w:lineRule="auto"/>
        <w:ind w:firstLine="540"/>
        <w:jc w:val="both"/>
      </w:pPr>
      <w:r>
        <w:rPr>
          <w:sz w:val="20"/>
        </w:rPr>
        <w:t xml:space="preserve">Стратегии</w:t>
      </w:r>
      <w:r>
        <w:rPr>
          <w:sz w:val="20"/>
        </w:rPr>
        <w:t xml:space="preserve"> развития лесного комплекса Российской Федерации до 2030 года, утвержденной распоряжением Правительства Российской Федерации от 11 февраля 2021 г. N 312-р;</w:t>
      </w:r>
    </w:p>
    <w:p>
      <w:pPr>
        <w:pStyle w:val="0"/>
        <w:spacing w:before="200" w:lineRule="auto"/>
        <w:ind w:firstLine="540"/>
        <w:jc w:val="both"/>
      </w:pPr>
      <w:r>
        <w:rPr>
          <w:sz w:val="20"/>
        </w:rPr>
        <w:t xml:space="preserve">Стратегии</w:t>
      </w:r>
      <w:r>
        <w:rPr>
          <w:sz w:val="20"/>
        </w:rPr>
        <w:t xml:space="preserve"> социально-экономического развития Российской Федерации с низким уровнем выбросов парниковых газов до 2050 года, утвержденной распоряжением Правительства Российской Федерации от 29 октября 2021 г. N 3052-р;</w:t>
      </w:r>
    </w:p>
    <w:p>
      <w:pPr>
        <w:pStyle w:val="0"/>
        <w:spacing w:before="200" w:lineRule="auto"/>
        <w:ind w:firstLine="540"/>
        <w:jc w:val="both"/>
      </w:pPr>
      <w:r>
        <w:rPr>
          <w:sz w:val="20"/>
        </w:rPr>
        <w:t xml:space="preserve">Транспортной </w:t>
      </w:r>
      <w:r>
        <w:rPr>
          <w:sz w:val="20"/>
        </w:rPr>
        <w:t xml:space="preserve">стратегии</w:t>
      </w:r>
      <w:r>
        <w:rPr>
          <w:sz w:val="20"/>
        </w:rPr>
        <w:t xml:space="preserve"> Российской Федерации до 2030 года с прогнозом на период до 2035 года, утвержденной распоряжением Правительства Российской Федерации от 27 ноября 2021 г. N 3363-р;</w:t>
      </w:r>
    </w:p>
    <w:p>
      <w:pPr>
        <w:pStyle w:val="0"/>
        <w:spacing w:before="200" w:lineRule="auto"/>
        <w:ind w:firstLine="540"/>
        <w:jc w:val="both"/>
      </w:pPr>
      <w:r>
        <w:rPr>
          <w:sz w:val="20"/>
        </w:rPr>
        <w:t xml:space="preserve">перечня</w:t>
      </w:r>
      <w:r>
        <w:rPr>
          <w:sz w:val="20"/>
        </w:rPr>
        <w:t xml:space="preserve"> инициатив социально-экономического развития Российской Федерации до 2030 года, утвержденного распоряжением Правительства Российской Федерации от 6 октября 2021 г. N 2816-р;</w:t>
      </w:r>
    </w:p>
    <w:p>
      <w:pPr>
        <w:pStyle w:val="0"/>
        <w:spacing w:before="200" w:lineRule="auto"/>
        <w:ind w:firstLine="540"/>
        <w:jc w:val="both"/>
      </w:pPr>
      <w:r>
        <w:rPr>
          <w:sz w:val="20"/>
        </w:rPr>
        <w:t xml:space="preserve">Единого </w:t>
      </w:r>
      <w:r>
        <w:rPr>
          <w:sz w:val="20"/>
        </w:rPr>
        <w:t xml:space="preserve">плана</w:t>
      </w:r>
      <w:r>
        <w:rPr>
          <w:sz w:val="20"/>
        </w:rPr>
        <w:t xml:space="preserve"> по достижению национальных целей развития Российской Федерации на период до 2024 года и на плановый период до 2030 года, утвержденного </w:t>
      </w:r>
      <w:r>
        <w:rPr>
          <w:sz w:val="20"/>
        </w:rPr>
        <w:t xml:space="preserve">распоряжением</w:t>
      </w:r>
      <w:r>
        <w:rPr>
          <w:sz w:val="20"/>
        </w:rPr>
        <w:t xml:space="preserve"> Правительства Российской Федерации от 1 октября 2021 г. N 2765-р;</w:t>
      </w:r>
    </w:p>
    <w:p>
      <w:pPr>
        <w:pStyle w:val="0"/>
        <w:spacing w:before="200" w:lineRule="auto"/>
        <w:ind w:firstLine="540"/>
        <w:jc w:val="both"/>
      </w:pPr>
      <w:r>
        <w:rPr>
          <w:sz w:val="20"/>
        </w:rPr>
        <w:t xml:space="preserve">Программы</w:t>
      </w:r>
      <w:r>
        <w:rPr>
          <w:sz w:val="20"/>
        </w:rPr>
        <w:t xml:space="preserve"> фундаментальных научных исследований в Российской Федерации на долгосрочный период (2021 - 2030 годы), утвержденной распоряжением Правительства Российской Федерации от 31 декабря 2020 г. N 3684-р;</w:t>
      </w:r>
    </w:p>
    <w:p>
      <w:pPr>
        <w:pStyle w:val="0"/>
        <w:spacing w:before="200" w:lineRule="auto"/>
        <w:ind w:firstLine="540"/>
        <w:jc w:val="both"/>
      </w:pPr>
      <w:r>
        <w:rPr>
          <w:sz w:val="20"/>
        </w:rPr>
        <w:t xml:space="preserve">Бюджетного </w:t>
      </w:r>
      <w:r>
        <w:rPr>
          <w:sz w:val="20"/>
        </w:rPr>
        <w:t xml:space="preserve">прогноза</w:t>
      </w:r>
      <w:r>
        <w:rPr>
          <w:sz w:val="20"/>
        </w:rPr>
        <w:t xml:space="preserve"> Российской Федерации на период до 2036 года, утвержденного распоряжением Правительства Российской Федерации от 29 марта 2019 г. N 558-р;</w:t>
      </w:r>
    </w:p>
    <w:p>
      <w:pPr>
        <w:pStyle w:val="0"/>
        <w:spacing w:before="200" w:lineRule="auto"/>
        <w:ind w:firstLine="540"/>
        <w:jc w:val="both"/>
      </w:pPr>
      <w:r>
        <w:rPr>
          <w:sz w:val="20"/>
        </w:rPr>
        <w:t xml:space="preserve">Национального </w:t>
      </w:r>
      <w:r>
        <w:rPr>
          <w:sz w:val="20"/>
        </w:rPr>
        <w:t xml:space="preserve">плана</w:t>
      </w:r>
      <w:r>
        <w:rPr>
          <w:sz w:val="20"/>
        </w:rPr>
        <w:t xml:space="preserve"> ("дорожной карты") развития конкуренции в Российской Федерации на 2021 - 2025 годы, утвержденного распоряжением Правительства Российской Федерации от 2 сентября 2021 г. N 2424-р;</w:t>
      </w:r>
    </w:p>
    <w:p>
      <w:pPr>
        <w:pStyle w:val="0"/>
        <w:spacing w:before="200" w:lineRule="auto"/>
        <w:ind w:firstLine="540"/>
        <w:jc w:val="both"/>
      </w:pPr>
      <w:r>
        <w:rPr>
          <w:sz w:val="20"/>
        </w:rPr>
        <w:t xml:space="preserve">государственной </w:t>
      </w:r>
      <w:r>
        <w:rPr>
          <w:sz w:val="20"/>
        </w:rPr>
        <w:t xml:space="preserve">программы</w:t>
      </w:r>
      <w:r>
        <w:rPr>
          <w:sz w:val="20"/>
        </w:rPr>
        <w:t xml:space="preserve"> Российской Федерации "Национальная система пространственных данных", утвержденной постановлением Правительства Российской Федерации от 1 декабря 2021 г. N 2148 "Об утверждении государственной программы Российской Федерации "Национальная система пространственных данных";</w:t>
      </w:r>
    </w:p>
    <w:p>
      <w:pPr>
        <w:pStyle w:val="0"/>
        <w:spacing w:before="200" w:lineRule="auto"/>
        <w:ind w:firstLine="540"/>
        <w:jc w:val="both"/>
      </w:pPr>
      <w:r>
        <w:rPr>
          <w:sz w:val="20"/>
        </w:rPr>
        <w:t xml:space="preserve">Прогноза</w:t>
      </w:r>
      <w:r>
        <w:rPr>
          <w:sz w:val="20"/>
        </w:rPr>
        <w:t xml:space="preserve"> научно-технологического развития Российской Федерации на период до 2030 года, утвержденного Председателем Правительства Российской Федерации 3 января 2014 г. N ДМ-П8-5;</w:t>
      </w:r>
    </w:p>
    <w:p>
      <w:pPr>
        <w:pStyle w:val="0"/>
        <w:spacing w:before="200" w:lineRule="auto"/>
        <w:ind w:firstLine="540"/>
        <w:jc w:val="both"/>
      </w:pPr>
      <w:r>
        <w:rPr>
          <w:sz w:val="20"/>
        </w:rPr>
        <w:t xml:space="preserve">Прогноза</w:t>
      </w:r>
      <w:r>
        <w:rPr>
          <w:sz w:val="20"/>
        </w:rPr>
        <w:t xml:space="preserve"> социально-экономического развития Российской Федерации на период до 2036 года, разработанного Министерством экономического развития Российской Федерации;</w:t>
      </w:r>
    </w:p>
    <w:p>
      <w:pPr>
        <w:pStyle w:val="0"/>
        <w:spacing w:before="200" w:lineRule="auto"/>
        <w:ind w:firstLine="540"/>
        <w:jc w:val="both"/>
      </w:pPr>
      <w:r>
        <w:rPr>
          <w:sz w:val="20"/>
        </w:rPr>
        <w:t xml:space="preserve">Прогноза</w:t>
      </w:r>
      <w:r>
        <w:rPr>
          <w:sz w:val="20"/>
        </w:rPr>
        <w:t xml:space="preserve"> социально-экономического развития Российской Федерации на 2023 год и плановый период 2024 и 2025 годов, разработанного Министерством экономического развития Российской Федерации;</w:t>
      </w:r>
    </w:p>
    <w:p>
      <w:pPr>
        <w:pStyle w:val="0"/>
        <w:spacing w:before="200" w:lineRule="auto"/>
        <w:ind w:firstLine="540"/>
        <w:jc w:val="both"/>
      </w:pPr>
      <w:r>
        <w:rPr>
          <w:sz w:val="20"/>
        </w:rPr>
        <w:t xml:space="preserve">иных документов стратегического планирования.</w:t>
      </w:r>
    </w:p>
    <w:p>
      <w:pPr>
        <w:pStyle w:val="0"/>
        <w:spacing w:before="200" w:lineRule="auto"/>
        <w:ind w:firstLine="540"/>
        <w:jc w:val="both"/>
      </w:pPr>
      <w:r>
        <w:rPr>
          <w:sz w:val="20"/>
        </w:rPr>
        <w:t xml:space="preserve">Стратегия учитывает положения </w:t>
      </w:r>
      <w:r>
        <w:rPr>
          <w:sz w:val="20"/>
        </w:rPr>
        <w:t xml:space="preserve">Конвенции</w:t>
      </w:r>
      <w:r>
        <w:rPr>
          <w:sz w:val="20"/>
        </w:rPr>
        <w:t xml:space="preserve"> Организации Объединенных Наций о правах инвалидов и Федерального </w:t>
      </w:r>
      <w:r>
        <w:rPr>
          <w:sz w:val="20"/>
        </w:rPr>
        <w:t xml:space="preserve">закона</w:t>
      </w:r>
      <w:r>
        <w:rPr>
          <w:sz w:val="20"/>
        </w:rPr>
        <w:t xml:space="preserve"> "О социальной защите инвалидов в Российской Федерации", а также Рамочной </w:t>
      </w:r>
      <w:r>
        <w:rPr>
          <w:sz w:val="20"/>
        </w:rPr>
        <w:t xml:space="preserve">конвенции</w:t>
      </w:r>
      <w:r>
        <w:rPr>
          <w:sz w:val="20"/>
        </w:rPr>
        <w:t xml:space="preserve"> Организации Объединенных Наций об изменении климата и Федерального </w:t>
      </w:r>
      <w:r>
        <w:rPr>
          <w:sz w:val="20"/>
        </w:rPr>
        <w:t xml:space="preserve">закона</w:t>
      </w:r>
      <w:r>
        <w:rPr>
          <w:sz w:val="20"/>
        </w:rPr>
        <w:t xml:space="preserve"> "Об ограничении выбросов парниковых газов".</w:t>
      </w:r>
    </w:p>
    <w:p>
      <w:pPr>
        <w:pStyle w:val="0"/>
        <w:spacing w:before="200" w:lineRule="auto"/>
        <w:ind w:firstLine="540"/>
        <w:jc w:val="both"/>
      </w:pPr>
      <w:r>
        <w:rPr>
          <w:sz w:val="20"/>
        </w:rPr>
        <w:t xml:space="preserve">Основной целью Стратегии является обеспечение достижения к 2030 году национальных целей и стратегических задач, определенных указами Президента Российской Федерации от 7 мая 2018 г. </w:t>
      </w:r>
      <w:r>
        <w:rPr>
          <w:sz w:val="20"/>
        </w:rPr>
        <w:t xml:space="preserve">N 204</w:t>
      </w:r>
      <w:r>
        <w:rPr>
          <w:sz w:val="20"/>
        </w:rPr>
        <w:t xml:space="preserve"> "О национальных целях и стратегических задачах развития Российской Федерации на период до 2024 года" и от 21 июля 2020 г. </w:t>
      </w:r>
      <w:r>
        <w:rPr>
          <w:sz w:val="20"/>
        </w:rPr>
        <w:t xml:space="preserve">N 474</w:t>
      </w:r>
      <w:r>
        <w:rPr>
          <w:sz w:val="20"/>
        </w:rPr>
        <w:t xml:space="preserve"> "О национальных целях развития Российской Федерации на период до 2030 года", в том числе национальных целей "комфортная и безопасная среда для жизни" и "цифровая трансформация".</w:t>
      </w:r>
    </w:p>
    <w:p>
      <w:pPr>
        <w:pStyle w:val="0"/>
        <w:spacing w:before="200" w:lineRule="auto"/>
        <w:ind w:firstLine="540"/>
        <w:jc w:val="both"/>
      </w:pPr>
      <w:r>
        <w:rPr>
          <w:sz w:val="20"/>
        </w:rPr>
        <w:t xml:space="preserve">Задачами для достижения указанной цели являются:</w:t>
      </w:r>
    </w:p>
    <w:p>
      <w:pPr>
        <w:pStyle w:val="0"/>
        <w:spacing w:before="200" w:lineRule="auto"/>
        <w:ind w:firstLine="540"/>
        <w:jc w:val="both"/>
      </w:pPr>
      <w:r>
        <w:rPr>
          <w:sz w:val="20"/>
        </w:rPr>
        <w:t xml:space="preserve">создание условий для преодоления последствий кризисных явлений за счет строительной отрасли как основы для восстановления экономики;</w:t>
      </w:r>
    </w:p>
    <w:p>
      <w:pPr>
        <w:pStyle w:val="0"/>
        <w:spacing w:before="200" w:lineRule="auto"/>
        <w:ind w:firstLine="540"/>
        <w:jc w:val="both"/>
      </w:pPr>
      <w:r>
        <w:rPr>
          <w:sz w:val="20"/>
        </w:rPr>
        <w:t xml:space="preserve">повышение комфортности и доступности жилья, улучшение качества городской среды;</w:t>
      </w:r>
    </w:p>
    <w:p>
      <w:pPr>
        <w:pStyle w:val="0"/>
        <w:spacing w:before="200" w:lineRule="auto"/>
        <w:ind w:firstLine="540"/>
        <w:jc w:val="both"/>
      </w:pPr>
      <w:r>
        <w:rPr>
          <w:sz w:val="20"/>
        </w:rPr>
        <w:t xml:space="preserve">формирование высокотехнологичных, конкурентоспособных отраслей строительства и жилищно-коммунального хозяйства;</w:t>
      </w:r>
    </w:p>
    <w:p>
      <w:pPr>
        <w:pStyle w:val="0"/>
        <w:spacing w:before="200" w:lineRule="auto"/>
        <w:ind w:firstLine="540"/>
        <w:jc w:val="both"/>
      </w:pPr>
      <w:r>
        <w:rPr>
          <w:sz w:val="20"/>
        </w:rPr>
        <w:t xml:space="preserve">повышение энергоэффективности строящихся и существующих объектов капитального строительства и коммунальных систем;</w:t>
      </w:r>
    </w:p>
    <w:p>
      <w:pPr>
        <w:pStyle w:val="0"/>
        <w:spacing w:before="200" w:lineRule="auto"/>
        <w:ind w:firstLine="540"/>
        <w:jc w:val="both"/>
      </w:pPr>
      <w:r>
        <w:rPr>
          <w:sz w:val="20"/>
        </w:rPr>
        <w:t xml:space="preserve">вовлечение в хозяйственный оборот ранее не задействованных для строительства земельных участков, повышение эффективности использования земельных участков, предназначенных для строительства;</w:t>
      </w:r>
    </w:p>
    <w:p>
      <w:pPr>
        <w:pStyle w:val="0"/>
        <w:spacing w:before="200" w:lineRule="auto"/>
        <w:ind w:firstLine="540"/>
        <w:jc w:val="both"/>
      </w:pPr>
      <w:r>
        <w:rPr>
          <w:sz w:val="20"/>
        </w:rPr>
        <w:t xml:space="preserve">минимизация негативного воздействия строительной отрасли и жилищно-коммунального хозяйства на окружающую среду.</w:t>
      </w:r>
    </w:p>
    <w:p>
      <w:pPr>
        <w:pStyle w:val="0"/>
        <w:spacing w:before="200" w:lineRule="auto"/>
        <w:ind w:firstLine="540"/>
        <w:jc w:val="both"/>
      </w:pPr>
      <w:r>
        <w:rPr>
          <w:sz w:val="20"/>
        </w:rPr>
        <w:t xml:space="preserve">Стратегическое развитие строительной отрасли и жилищно-коммунального хозяйства базируется на реализации наиболее эффективных мер и инструментов, а также на ресурсном обеспечении реализации Стратегии, предусмотренном </w:t>
      </w:r>
      <w:r>
        <w:rPr>
          <w:sz w:val="20"/>
        </w:rPr>
        <w:t xml:space="preserve">разделом XII</w:t>
      </w:r>
      <w:r>
        <w:rPr>
          <w:sz w:val="20"/>
        </w:rPr>
        <w:t xml:space="preserve"> Стратегии. Стратегией также предусмотрена взаимосвязь мероприятий национального </w:t>
      </w:r>
      <w:r>
        <w:rPr>
          <w:sz w:val="20"/>
        </w:rPr>
        <w:t xml:space="preserve">проекта</w:t>
      </w:r>
      <w:r>
        <w:rPr>
          <w:sz w:val="20"/>
        </w:rPr>
        <w:t xml:space="preserve"> "Жилье и городская среда" с мероприятиями других национальных проектов, в том числе в случае принятия решений о продлении сроков реализации соответствующих национальных проектов.</w:t>
      </w:r>
    </w:p>
    <w:p>
      <w:pPr>
        <w:pStyle w:val="0"/>
        <w:spacing w:before="200" w:lineRule="auto"/>
        <w:ind w:firstLine="540"/>
        <w:jc w:val="both"/>
      </w:pPr>
      <w:r>
        <w:rPr>
          <w:sz w:val="20"/>
        </w:rPr>
        <w:t xml:space="preserve">За счет новых подходов к градостроительной политике Стратегией формулируются задачи для смежных отраслей, прежде всего промышленности, энергетики и транспорта. Это стало возможным за счет определения в Стратегии приоритетов развития для городских агломераций и опорных населенных пунктов, систематизации пространственных данных, а также упрощения правил стратегического планирования и их синхронизации с порядками и сроками принятия градостроительных решений на местах.</w:t>
      </w:r>
    </w:p>
    <w:p>
      <w:pPr>
        <w:pStyle w:val="0"/>
        <w:spacing w:before="200" w:lineRule="auto"/>
        <w:ind w:firstLine="540"/>
        <w:jc w:val="both"/>
      </w:pPr>
      <w:r>
        <w:rPr>
          <w:sz w:val="20"/>
        </w:rPr>
        <w:t xml:space="preserve">Формирование новых жилищных возможностей для граждан позволяет определить основные стратегические приоритеты жилищной политики, создать условия для комплексного обновления населенных пунктов и повышения качества жизни граждан. Жилищное строительство и обновление городов с учетом социальных и экономических эффектов являются ключевыми элементами Стратегии, которые формируют задачи по развитию строительной отрасли и ее ресурсному обеспечению.</w:t>
      </w:r>
    </w:p>
    <w:p>
      <w:pPr>
        <w:pStyle w:val="0"/>
        <w:spacing w:before="200" w:lineRule="auto"/>
        <w:ind w:firstLine="540"/>
        <w:jc w:val="both"/>
      </w:pPr>
      <w:r>
        <w:rPr>
          <w:sz w:val="20"/>
        </w:rPr>
        <w:t xml:space="preserve">Новый ритм строительству должны придать 3 направления его трансформации - административная, цифровая и профессиональная. Ключевыми задачами этих направлений являются:</w:t>
      </w:r>
    </w:p>
    <w:p>
      <w:pPr>
        <w:pStyle w:val="0"/>
        <w:spacing w:before="200" w:lineRule="auto"/>
        <w:ind w:firstLine="540"/>
        <w:jc w:val="both"/>
      </w:pPr>
      <w:r>
        <w:rPr>
          <w:sz w:val="20"/>
        </w:rPr>
        <w:t xml:space="preserve">сокращение продолжительности инвестиционно-строительного цикла не менее чем на 30 процентов;</w:t>
      </w:r>
    </w:p>
    <w:p>
      <w:pPr>
        <w:pStyle w:val="0"/>
        <w:spacing w:before="200" w:lineRule="auto"/>
        <w:ind w:firstLine="540"/>
        <w:jc w:val="both"/>
      </w:pPr>
      <w:r>
        <w:rPr>
          <w:sz w:val="20"/>
        </w:rPr>
        <w:t xml:space="preserve">обеспечение максимальной прозрачности его процедур за счет их цифровизации;</w:t>
      </w:r>
    </w:p>
    <w:p>
      <w:pPr>
        <w:pStyle w:val="0"/>
        <w:spacing w:before="200" w:lineRule="auto"/>
        <w:ind w:firstLine="540"/>
        <w:jc w:val="both"/>
      </w:pPr>
      <w:r>
        <w:rPr>
          <w:sz w:val="20"/>
        </w:rPr>
        <w:t xml:space="preserve">исключение избыточных ограничений по использованию земельных участков для строительства, в том числе имея в виду реформу регулирования зон с особыми условиями использования территорий;</w:t>
      </w:r>
    </w:p>
    <w:p>
      <w:pPr>
        <w:pStyle w:val="0"/>
        <w:spacing w:before="200" w:lineRule="auto"/>
        <w:ind w:firstLine="540"/>
        <w:jc w:val="both"/>
      </w:pPr>
      <w:r>
        <w:rPr>
          <w:sz w:val="20"/>
        </w:rPr>
        <w:t xml:space="preserve">установление целевых ориентиров для совершенствования правил допуска на рынок строительных услуг новых организаций;</w:t>
      </w:r>
    </w:p>
    <w:p>
      <w:pPr>
        <w:pStyle w:val="0"/>
        <w:spacing w:before="200" w:lineRule="auto"/>
        <w:ind w:firstLine="540"/>
        <w:jc w:val="both"/>
      </w:pPr>
      <w:r>
        <w:rPr>
          <w:sz w:val="20"/>
        </w:rPr>
        <w:t xml:space="preserve">привлечение необходимых для выполнения поставленных задач строительных ресурсов и повышение производительности труда.</w:t>
      </w:r>
    </w:p>
    <w:p>
      <w:pPr>
        <w:pStyle w:val="0"/>
        <w:spacing w:before="200" w:lineRule="auto"/>
        <w:ind w:firstLine="540"/>
        <w:jc w:val="both"/>
      </w:pPr>
      <w:r>
        <w:rPr>
          <w:sz w:val="20"/>
        </w:rPr>
        <w:t xml:space="preserve">В целях развития и модернизации коммунальной инфраструктуры Стратегией предусмотрена реализация долгосрочной комплексной программы модернизации коммунальной инфраструктуры, благодаря которой отрасль жилищного хозяйства сможет выдержать нагрузку в связи с увеличивающимися темпами строительства, а также повысится качество предоставляемых гражданам коммунальных услуг. Необходимы кардинальные решения, направленные на повышение энергетической эффективности систем инженерно-технического обеспечения путем поэтапного снижения их износа, уменьшения потерь в сетях инженерно-технического обеспечения и аварийности этих систем.</w:t>
      </w:r>
    </w:p>
    <w:p>
      <w:pPr>
        <w:pStyle w:val="0"/>
        <w:spacing w:before="200" w:lineRule="auto"/>
        <w:ind w:firstLine="540"/>
        <w:jc w:val="both"/>
      </w:pPr>
      <w:r>
        <w:rPr>
          <w:sz w:val="20"/>
        </w:rPr>
        <w:t xml:space="preserve">В совокупности весь комплекс мероприятий Стратегии, направленный на повышение комфортности и доступности жилья, улучшение качества городской среды, формирование высокотехнологичных, конкурентоспособных отраслей строительства и жилищно-коммунального хозяйства, обеспечит рост инвестиций и увеличение вклада отраслей строительства и жилищно-коммунального хозяйства в валовой внутренний продукт.</w:t>
      </w:r>
    </w:p>
    <w:p>
      <w:pPr>
        <w:pStyle w:val="0"/>
        <w:spacing w:before="200" w:lineRule="auto"/>
        <w:ind w:firstLine="540"/>
        <w:jc w:val="both"/>
      </w:pPr>
      <w:r>
        <w:rPr>
          <w:sz w:val="20"/>
        </w:rPr>
        <w:t xml:space="preserve">Реализация Стратегии осуществляется в 2 этапа:</w:t>
      </w:r>
    </w:p>
    <w:p>
      <w:pPr>
        <w:pStyle w:val="0"/>
        <w:spacing w:before="200" w:lineRule="auto"/>
        <w:ind w:firstLine="540"/>
        <w:jc w:val="both"/>
      </w:pPr>
      <w:r>
        <w:rPr>
          <w:sz w:val="20"/>
        </w:rPr>
        <w:t xml:space="preserve">первый - с 2022 года по 2024 год;</w:t>
      </w:r>
    </w:p>
    <w:p>
      <w:pPr>
        <w:pStyle w:val="0"/>
        <w:spacing w:before="200" w:lineRule="auto"/>
        <w:ind w:firstLine="540"/>
        <w:jc w:val="both"/>
      </w:pPr>
      <w:r>
        <w:rPr>
          <w:sz w:val="20"/>
        </w:rPr>
        <w:t xml:space="preserve">второй - с 2025 года по 2030 год с ориентиром на достижение прогнозных значений показателей 2035 года.</w:t>
      </w:r>
    </w:p>
    <w:p>
      <w:pPr>
        <w:pStyle w:val="0"/>
        <w:spacing w:before="200" w:lineRule="auto"/>
        <w:ind w:firstLine="540"/>
        <w:jc w:val="both"/>
      </w:pPr>
      <w:r>
        <w:rPr>
          <w:sz w:val="20"/>
        </w:rPr>
        <w:t xml:space="preserve">В качестве базового периода определен 2021 год.</w:t>
      </w:r>
    </w:p>
    <w:p>
      <w:pPr>
        <w:pStyle w:val="0"/>
        <w:spacing w:before="200" w:lineRule="auto"/>
        <w:ind w:firstLine="540"/>
        <w:jc w:val="both"/>
      </w:pPr>
      <w:r>
        <w:rPr>
          <w:sz w:val="20"/>
        </w:rPr>
        <w:t xml:space="preserve">Основные понятия, используемые в Стратегии, означают следующее:</w:t>
      </w:r>
    </w:p>
    <w:p>
      <w:pPr>
        <w:pStyle w:val="0"/>
        <w:spacing w:before="200" w:lineRule="auto"/>
        <w:ind w:firstLine="540"/>
        <w:jc w:val="both"/>
      </w:pPr>
      <w:r>
        <w:rPr>
          <w:sz w:val="20"/>
        </w:rPr>
        <w:t xml:space="preserve">"2 СТУ = норма" - механизм ускоренной актуализации сводов правил, утверждаемых Министерством строительства и жилищно-коммунального хозяйства Российской Федерации, для внедрения в практику проектирования повторяющихся (2 и более раза) нормативных технических требований, установленных в согласованных Министерством строительства и жилищно-коммунального хозяйства Российской Федерации специальных технических условиях (процедура ускоренной актуализации свода правил сохраняет в своем составе наличие публичного обсуждения и экспертизы);</w:t>
      </w:r>
    </w:p>
    <w:p>
      <w:pPr>
        <w:pStyle w:val="0"/>
        <w:spacing w:before="200" w:lineRule="auto"/>
        <w:ind w:firstLine="540"/>
        <w:jc w:val="both"/>
      </w:pPr>
      <w:r>
        <w:rPr>
          <w:sz w:val="20"/>
        </w:rPr>
        <w:t xml:space="preserve">"аддитивные технологии в строительстве" - технологии создания объектов капитального строительства путем их послойного наращивания и синтеза с помощью электронных геометрических моделей (3D-печать);</w:t>
      </w:r>
    </w:p>
    <w:p>
      <w:pPr>
        <w:pStyle w:val="0"/>
        <w:spacing w:before="200" w:lineRule="auto"/>
        <w:ind w:firstLine="540"/>
        <w:jc w:val="both"/>
      </w:pPr>
      <w:r>
        <w:rPr>
          <w:sz w:val="20"/>
        </w:rPr>
        <w:t xml:space="preserve">"бережливое строительство" - управленческая концепция, призванная сократить все возможные виды затрат, которые возникают в процессе производства (потери материалов, времени и усилий), в целях получения максимально возможной стоимости. Главные принципы "бережливого строительства" - систематизация всех звеньев производственного процесса и оптимизация работы каждого из них для достижения наибольшей эффективности;</w:t>
      </w:r>
    </w:p>
    <w:p>
      <w:pPr>
        <w:pStyle w:val="0"/>
        <w:spacing w:before="200" w:lineRule="auto"/>
        <w:ind w:firstLine="540"/>
        <w:jc w:val="both"/>
      </w:pPr>
      <w:r>
        <w:rPr>
          <w:sz w:val="20"/>
        </w:rPr>
        <w:t xml:space="preserve">"ветхое жилье" - вид жилого дома, техническое состояние основных конструктивных элементов которого в результате высокого физического износа (70 процентов и более) перестает удовлетворять заданным эксплуатационным характеристикам и требованиям;</w:t>
      </w:r>
    </w:p>
    <w:p>
      <w:pPr>
        <w:pStyle w:val="0"/>
        <w:spacing w:before="200" w:lineRule="auto"/>
        <w:ind w:firstLine="540"/>
        <w:jc w:val="both"/>
      </w:pPr>
      <w:r>
        <w:rPr>
          <w:sz w:val="20"/>
        </w:rPr>
        <w:t xml:space="preserve">"городская агломерация" - совокупность компактно расположенных населенных пунктов и территорий между ними с общей численностью населения более 250 тыс. человек, связанных совместным использованием инфраструктурных объектов и объединенных интенсивными экономическими, в том числе трудовыми и социальными, связями;</w:t>
      </w:r>
    </w:p>
    <w:p>
      <w:pPr>
        <w:pStyle w:val="0"/>
        <w:spacing w:before="200" w:lineRule="auto"/>
        <w:ind w:firstLine="540"/>
        <w:jc w:val="both"/>
      </w:pPr>
      <w:r>
        <w:rPr>
          <w:sz w:val="20"/>
        </w:rPr>
        <w:t xml:space="preserve">"дезинвазия осадков" - обеззараживание осадков сточных вод;</w:t>
      </w:r>
    </w:p>
    <w:p>
      <w:pPr>
        <w:pStyle w:val="0"/>
        <w:spacing w:before="200" w:lineRule="auto"/>
        <w:ind w:firstLine="540"/>
        <w:jc w:val="both"/>
      </w:pPr>
      <w:r>
        <w:rPr>
          <w:sz w:val="20"/>
        </w:rPr>
        <w:t xml:space="preserve">"здоровые улицы" - это подход, который позволяет принимать взвешенные решения в транспортной и градостроительной политике с учетом приоритетов в области здравоохранения граждан;</w:t>
      </w:r>
    </w:p>
    <w:p>
      <w:pPr>
        <w:pStyle w:val="0"/>
        <w:spacing w:before="200" w:lineRule="auto"/>
        <w:ind w:firstLine="540"/>
        <w:jc w:val="both"/>
      </w:pPr>
      <w:r>
        <w:rPr>
          <w:sz w:val="20"/>
        </w:rPr>
        <w:t xml:space="preserve">"зеленое строительство" - вид строительства и эксплуатации зданий с минимальным воздействием на окружающую среду, в том числе в целях снижения уровня потребления энергетических и материальных ресурсов на протяжении всего жизненного цикла объекта капитального строительства;</w:t>
      </w:r>
    </w:p>
    <w:p>
      <w:pPr>
        <w:pStyle w:val="0"/>
        <w:spacing w:before="200" w:lineRule="auto"/>
        <w:ind w:firstLine="540"/>
        <w:jc w:val="both"/>
      </w:pPr>
      <w:r>
        <w:rPr>
          <w:sz w:val="20"/>
        </w:rPr>
        <w:t xml:space="preserve">"зеленые здания" - здания, возведенные при помощи технологий, обеспечивающих экологичность и безопасность;</w:t>
      </w:r>
    </w:p>
    <w:p>
      <w:pPr>
        <w:pStyle w:val="0"/>
        <w:spacing w:before="200" w:lineRule="auto"/>
        <w:ind w:firstLine="540"/>
        <w:jc w:val="both"/>
      </w:pPr>
      <w:r>
        <w:rPr>
          <w:sz w:val="20"/>
        </w:rPr>
        <w:t xml:space="preserve">"зеленые решения" - инновационные и экологичные ресурсы и материалы, которые имеют новые и улучшенные технологические характеристики, направленные на минимизацию негативного воздействия на окружающую среду, и их использование существенно отличается от имеющихся альтернативных решений;</w:t>
      </w:r>
    </w:p>
    <w:p>
      <w:pPr>
        <w:pStyle w:val="0"/>
        <w:spacing w:before="200" w:lineRule="auto"/>
        <w:ind w:firstLine="540"/>
        <w:jc w:val="both"/>
      </w:pPr>
      <w:r>
        <w:rPr>
          <w:sz w:val="20"/>
        </w:rPr>
        <w:t xml:space="preserve">"зеленые стандарты" - стандарты, устанавливающие требования к "зеленым" технологиям среды жизнедеятельности и "зеленой" инновационной продукции;</w:t>
      </w:r>
    </w:p>
    <w:p>
      <w:pPr>
        <w:pStyle w:val="0"/>
        <w:spacing w:before="200" w:lineRule="auto"/>
        <w:ind w:firstLine="540"/>
        <w:jc w:val="both"/>
      </w:pPr>
      <w:r>
        <w:rPr>
          <w:sz w:val="20"/>
        </w:rPr>
        <w:t xml:space="preserve">"институт заказчиков работ и услуг для многоквартирных домов" - система взаимоотношений между собственниками помещений в многоквартирном доме и лицами, осуществляющими управление многоквартирными домами, или организациями, предоставляющими услуги по обслуживанию и текущему ремонту общего имущества;</w:t>
      </w:r>
    </w:p>
    <w:p>
      <w:pPr>
        <w:pStyle w:val="0"/>
        <w:spacing w:before="200" w:lineRule="auto"/>
        <w:ind w:firstLine="540"/>
        <w:jc w:val="both"/>
      </w:pPr>
      <w:r>
        <w:rPr>
          <w:sz w:val="20"/>
        </w:rPr>
        <w:t xml:space="preserve">"институт технического нормирования в строительстве" - центр компетенций в области технического регулирования в строительстве, организация, выполняющая работы по реализации программы национальной стандартизации в области строительства, разработке сводов правил в области строительства, проведению экспертизы документов по стандартизации в области строительства, информационному обеспечению национальной системы нормирования в строительстве, формированию и ведению реестра документов, содержащих требования, подлежащие применению при проведении экспертизы проектной документации и (или) результатов инженерных изысканий;</w:t>
      </w:r>
    </w:p>
    <w:p>
      <w:pPr>
        <w:pStyle w:val="0"/>
        <w:spacing w:before="200" w:lineRule="auto"/>
        <w:ind w:firstLine="540"/>
        <w:jc w:val="both"/>
      </w:pPr>
      <w:r>
        <w:rPr>
          <w:sz w:val="20"/>
        </w:rPr>
        <w:t xml:space="preserve">"институт экспертизы проектной документации и результатов инженерных изысканий" - один из механизмов обеспечения безопасности объектов капитального строительства посредством оценки соответствия проектной документации требованиям технических регламентов, а также проверки достоверности определения сметной стоимости строительства объектов капитального строительства;</w:t>
      </w:r>
    </w:p>
    <w:p>
      <w:pPr>
        <w:pStyle w:val="0"/>
        <w:spacing w:before="200" w:lineRule="auto"/>
        <w:ind w:firstLine="540"/>
        <w:jc w:val="both"/>
      </w:pPr>
      <w:r>
        <w:rPr>
          <w:sz w:val="20"/>
        </w:rPr>
        <w:t xml:space="preserve">"креативная экономика" - экономика, которая включает продукты и услуги со значительными креативными и инновационными компонентами, которая помимо отраслей культуры включает сферы информационно-коммуникационных технологий, компьютерных игр, моды, искусства, дизайна, видео, фотографии, кино, архитектуры и др.;</w:t>
      </w:r>
    </w:p>
    <w:p>
      <w:pPr>
        <w:pStyle w:val="0"/>
        <w:spacing w:before="200" w:lineRule="auto"/>
        <w:ind w:firstLine="540"/>
        <w:jc w:val="both"/>
      </w:pPr>
      <w:r>
        <w:rPr>
          <w:sz w:val="20"/>
        </w:rPr>
        <w:t xml:space="preserve">"новая программа расселения" - программа расселения аварийного жилья, признанного таковым в период с 1 января 2017 г. до 1 января 2022 г.;</w:t>
      </w:r>
    </w:p>
    <w:p>
      <w:pPr>
        <w:pStyle w:val="0"/>
        <w:spacing w:before="200" w:lineRule="auto"/>
        <w:ind w:firstLine="540"/>
        <w:jc w:val="both"/>
      </w:pPr>
      <w:r>
        <w:rPr>
          <w:sz w:val="20"/>
        </w:rPr>
        <w:t xml:space="preserve">"опорный населенный пункт" - населенный пункт, расположенный вне границ городских агломераций, на базе которого обеспечивается ускоренное развитие социальной, транспортной, инженерной инфраструктур, обеспечивающих реализацию гарантий в сфере образования, доступность медицинской помощи, услуг в сфере культуры и реализацию иных потребностей населения территорий одного или нескольких муниципальных образований;</w:t>
      </w:r>
    </w:p>
    <w:p>
      <w:pPr>
        <w:pStyle w:val="0"/>
        <w:spacing w:before="200" w:lineRule="auto"/>
        <w:ind w:firstLine="540"/>
        <w:jc w:val="both"/>
      </w:pPr>
      <w:r>
        <w:rPr>
          <w:sz w:val="20"/>
        </w:rPr>
        <w:t xml:space="preserve">"параметрический метод нормирования" - метод установления нормативных требований, при котором установление обязательных требований применяется только к эксплуатационным (функциональным) характеристикам объекта технического регулирования, в том числе к количественным параметрам, вне зависимости от его конструкции и исполнения. При этом способы достижения этих требований устанавливаются на добровольной основе с возможностью применения иных способов (подходов) на альтернативной основе;</w:t>
      </w:r>
    </w:p>
    <w:p>
      <w:pPr>
        <w:pStyle w:val="0"/>
        <w:spacing w:before="200" w:lineRule="auto"/>
        <w:ind w:firstLine="540"/>
        <w:jc w:val="both"/>
      </w:pPr>
      <w:r>
        <w:rPr>
          <w:sz w:val="20"/>
        </w:rPr>
        <w:t xml:space="preserve">"предписывающий метод нормирования" - метод установления нормативных требований, характеризующийся поэлементным описанием объекта (объект капитального строительства или его части), в соответствии с которым предписываются (устанавливаются) конкретные объемно-планировочные, конструктивные, инженерные и технологические решения, применяемые материалы и изделия с их рабочими характеристиками и др.;</w:t>
      </w:r>
    </w:p>
    <w:p>
      <w:pPr>
        <w:pStyle w:val="0"/>
        <w:spacing w:before="200" w:lineRule="auto"/>
        <w:ind w:firstLine="540"/>
        <w:jc w:val="both"/>
      </w:pPr>
      <w:r>
        <w:rPr>
          <w:sz w:val="20"/>
        </w:rPr>
        <w:t xml:space="preserve">"перспективный центр экономического роста" - территория одного или нескольких муниципальных образований и (или) акватория, обладающие потенциалом для обеспечения значительного вклада в экономический рост Российской Федерации и (или) субъекта Российской Федерации в среднесрочный и долгосрочный периоды (к перспективным центрам экономического роста относятся в том числе минерально-сырьевой центр и агропромышленный центр);</w:t>
      </w:r>
    </w:p>
    <w:p>
      <w:pPr>
        <w:pStyle w:val="0"/>
        <w:spacing w:before="200" w:lineRule="auto"/>
        <w:ind w:firstLine="540"/>
        <w:jc w:val="both"/>
      </w:pPr>
      <w:r>
        <w:rPr>
          <w:sz w:val="20"/>
        </w:rPr>
        <w:t xml:space="preserve">"реестровый принцип разработки технических требований" - принцип разработки технических требований, предполагающий возможность их практической имплементации (в том числе на обязательной основе) только после включения таких требований в соответствующий реестр;</w:t>
      </w:r>
    </w:p>
    <w:p>
      <w:pPr>
        <w:pStyle w:val="0"/>
        <w:spacing w:before="200" w:lineRule="auto"/>
        <w:ind w:firstLine="540"/>
        <w:jc w:val="both"/>
      </w:pPr>
      <w:r>
        <w:rPr>
          <w:sz w:val="20"/>
        </w:rPr>
        <w:t xml:space="preserve">"сбалансированное территориальное планирование" - планирование развития территорий с оптимальным соотношением объема застройки и возможностей развития инженерной, транспортной и социальной инфраструктур, в том числе при установлении функциональных зон, определении планируемого размещения объектов федерального, регионального и местного значения, направленное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w:t>
      </w:r>
    </w:p>
    <w:p>
      <w:pPr>
        <w:pStyle w:val="0"/>
        <w:spacing w:before="200" w:lineRule="auto"/>
        <w:ind w:firstLine="540"/>
        <w:jc w:val="both"/>
      </w:pPr>
      <w:r>
        <w:rPr>
          <w:sz w:val="20"/>
        </w:rPr>
        <w:t xml:space="preserve">"теория "пешеходного города" - градостроительная концепция, подразумевающая возрождение небольшого компактного города (или района);</w:t>
      </w:r>
    </w:p>
    <w:p>
      <w:pPr>
        <w:pStyle w:val="0"/>
        <w:spacing w:before="200" w:lineRule="auto"/>
        <w:ind w:firstLine="540"/>
        <w:jc w:val="both"/>
      </w:pPr>
      <w:r>
        <w:rPr>
          <w:sz w:val="20"/>
        </w:rPr>
        <w:t xml:space="preserve">"технологическая цепочка" - упорядоченная в порядке выполнения операций по переработке сырья совокупность юридических лиц, осуществляющих производственную деятельность по изготовлению конечного продукта в рамках полного технологического цикла;</w:t>
      </w:r>
    </w:p>
    <w:p>
      <w:pPr>
        <w:pStyle w:val="0"/>
        <w:spacing w:before="200" w:lineRule="auto"/>
        <w:ind w:firstLine="540"/>
        <w:jc w:val="both"/>
      </w:pPr>
      <w:r>
        <w:rPr>
          <w:sz w:val="20"/>
        </w:rPr>
        <w:t xml:space="preserve">"типовое проектирование" - разработка проектной и сметной документации на здания, сооружения и (или) их части (строительные конструкции), предназначенные для многократного повторного применения в строительстве;</w:t>
      </w:r>
    </w:p>
    <w:p>
      <w:pPr>
        <w:pStyle w:val="0"/>
        <w:spacing w:before="200" w:lineRule="auto"/>
        <w:ind w:firstLine="540"/>
        <w:jc w:val="both"/>
      </w:pPr>
      <w:r>
        <w:rPr>
          <w:sz w:val="20"/>
        </w:rPr>
        <w:t xml:space="preserve">"умный дом" - комплексная система автоматизации управления оборудованием, размещенным на объекте капитального строительства (как правило, применительно к жилым зданиям) и обеспечивающим работу систем инженерно-технического обеспечения и других функционально-технологических систем, характерных для объектов капитального строительства;</w:t>
      </w:r>
    </w:p>
    <w:p>
      <w:pPr>
        <w:pStyle w:val="0"/>
        <w:spacing w:before="200" w:lineRule="auto"/>
        <w:ind w:firstLine="540"/>
        <w:jc w:val="both"/>
      </w:pPr>
      <w:r>
        <w:rPr>
          <w:sz w:val="20"/>
        </w:rPr>
        <w:t xml:space="preserve">"формат "удаленной" работы" - способ организации труда, при котором работник выполняет установленные трудовые обязанности по своей работе с помощью информационно-коммуникационных технологий, не находясь на своем рабочем месте;</w:t>
      </w:r>
    </w:p>
    <w:p>
      <w:pPr>
        <w:pStyle w:val="0"/>
        <w:spacing w:before="200" w:lineRule="auto"/>
        <w:ind w:firstLine="540"/>
        <w:jc w:val="both"/>
      </w:pPr>
      <w:r>
        <w:rPr>
          <w:sz w:val="20"/>
        </w:rPr>
        <w:t xml:space="preserve">"цифровой двойник" объекта капитального строительства" - синхронизированная цифровая копия объекта капитального строительства, представляющая собой виртуальную модель, воспроизводящую форму оригинального объекта и все характерные для такого оригинала процессы, что позволяет однозначно идентифицировать все исторические изменения, выполненные для объекта-оригинала, а также прогнозировать жизненный цикл копируемого объекта;</w:t>
      </w:r>
    </w:p>
    <w:p>
      <w:pPr>
        <w:pStyle w:val="0"/>
        <w:spacing w:before="200" w:lineRule="auto"/>
        <w:ind w:firstLine="540"/>
        <w:jc w:val="both"/>
      </w:pPr>
      <w:r>
        <w:rPr>
          <w:sz w:val="20"/>
        </w:rPr>
        <w:t xml:space="preserve">"экономика совместного потребления" - описание экономической модели, основанной на коллективном использовании товаров и услуг, обмене или совместном найме вместо владения;</w:t>
      </w:r>
    </w:p>
    <w:p>
      <w:pPr>
        <w:pStyle w:val="0"/>
        <w:spacing w:before="200" w:lineRule="auto"/>
        <w:ind w:firstLine="540"/>
        <w:jc w:val="both"/>
      </w:pPr>
      <w:r>
        <w:rPr>
          <w:sz w:val="20"/>
        </w:rPr>
        <w:t xml:space="preserve">"энергосервисный контракт" - форма договора, направленного на экономию эксплуатационных расходов (оплату коммунальных услуг и ресурсов) за счет повышения энергоэффективности и мероприятий по энергосбережению. Оплата по энергосервисному контракту осуществляется за счет достигнутой экономии средств, получаемой после внедрения энергосберегающих технологий.</w:t>
      </w:r>
    </w:p>
    <w:p>
      <w:pPr>
        <w:pStyle w:val="0"/>
        <w:jc w:val="both"/>
      </w:pPr>
      <w:r>
        <w:rPr>
          <w:sz w:val="20"/>
        </w:rPr>
      </w:r>
    </w:p>
    <w:p>
      <w:pPr>
        <w:pStyle w:val="2"/>
        <w:outlineLvl w:val="2"/>
        <w:jc w:val="center"/>
      </w:pPr>
      <w:r>
        <w:rPr>
          <w:sz w:val="20"/>
        </w:rPr>
        <w:t xml:space="preserve">2. Текущая ситуация в строительстве</w:t>
      </w:r>
    </w:p>
    <w:p>
      <w:pPr>
        <w:pStyle w:val="2"/>
        <w:jc w:val="center"/>
      </w:pPr>
      <w:r>
        <w:rPr>
          <w:sz w:val="20"/>
        </w:rPr>
        <w:t xml:space="preserve">и жилищно-коммунальном хозяйстве</w:t>
      </w:r>
    </w:p>
    <w:p>
      <w:pPr>
        <w:pStyle w:val="0"/>
        <w:jc w:val="both"/>
      </w:pPr>
      <w:r>
        <w:rPr>
          <w:sz w:val="20"/>
        </w:rPr>
      </w:r>
    </w:p>
    <w:p>
      <w:pPr>
        <w:pStyle w:val="0"/>
        <w:ind w:firstLine="540"/>
        <w:jc w:val="both"/>
      </w:pPr>
      <w:r>
        <w:rPr>
          <w:sz w:val="20"/>
        </w:rPr>
        <w:t xml:space="preserve">Исторически строительство и жилищно-коммунальное хозяйство являются одними из самых значимых отраслей экономики нашей страны, определяют динамику ее развития, обеспечивают занятость, доходы миллионов граждан, а также вносят непосредственный вклад в создание комфортных и удобных условий жизнедеятельности граждан.</w:t>
      </w:r>
    </w:p>
    <w:p>
      <w:pPr>
        <w:pStyle w:val="0"/>
        <w:spacing w:before="200" w:lineRule="auto"/>
        <w:ind w:firstLine="540"/>
        <w:jc w:val="both"/>
      </w:pPr>
      <w:r>
        <w:rPr>
          <w:sz w:val="20"/>
        </w:rPr>
        <w:t xml:space="preserve">Строительная отрасль претерпела существенные структурные изменения за последние 2 десятилетия. В переходный период истории страны (1990-е годы) из-за резкого снижения государственного финансирования упали темпы возведения крупных объектов капитального строительства.</w:t>
      </w:r>
    </w:p>
    <w:p>
      <w:pPr>
        <w:pStyle w:val="0"/>
        <w:spacing w:before="200" w:lineRule="auto"/>
        <w:ind w:firstLine="540"/>
        <w:jc w:val="both"/>
      </w:pPr>
      <w:r>
        <w:rPr>
          <w:sz w:val="20"/>
        </w:rPr>
        <w:t xml:space="preserve">Возрождение масштабного строительства началось в конце 2000-х - начале 2010-х годов. Правовой основой для этого стало принятие в конце 2004 года Градостроительного </w:t>
      </w:r>
      <w:r>
        <w:rPr>
          <w:sz w:val="20"/>
        </w:rPr>
        <w:t xml:space="preserve">кодекса</w:t>
      </w:r>
      <w:r>
        <w:rPr>
          <w:sz w:val="20"/>
        </w:rPr>
        <w:t xml:space="preserve"> Российской Федерации, Жилищного </w:t>
      </w:r>
      <w:r>
        <w:rPr>
          <w:sz w:val="20"/>
        </w:rPr>
        <w:t xml:space="preserve">кодекса</w:t>
      </w:r>
      <w:r>
        <w:rPr>
          <w:sz w:val="20"/>
        </w:rPr>
        <w:t xml:space="preserve"> Российской Федерации и целого ряда значимых для строительной отрасли законов, включая Федеральный </w:t>
      </w:r>
      <w:r>
        <w:rPr>
          <w:sz w:val="20"/>
        </w:rPr>
        <w:t xml:space="preserve">закон</w:t>
      </w:r>
      <w:r>
        <w:rPr>
          <w:sz w:val="20"/>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Сформирован рынок ипотеки, запущена секьюритизация ипотечных кредитов. Кроме того, приняты законы о дорожной деятельности, концессионных соглашениях, создании Государственной компании "Автодор" и государственной корпорации - Фонда содействия реформированию жилищно-коммунального хозяйства, создан механизм вовлечения в оборот неэффективно используемых земельных участков, находящихся в федеральной собственности.</w:t>
      </w:r>
    </w:p>
    <w:p>
      <w:pPr>
        <w:pStyle w:val="0"/>
        <w:spacing w:before="200" w:lineRule="auto"/>
        <w:ind w:firstLine="540"/>
        <w:jc w:val="both"/>
      </w:pPr>
      <w:r>
        <w:rPr>
          <w:sz w:val="20"/>
        </w:rPr>
        <w:t xml:space="preserve">В 2021 году общий вклад строительной отрасли и жилищно-коммунального хозяйства в экономику с учетом смежных отраслей характеризуется следующими показателями:</w:t>
      </w:r>
    </w:p>
    <w:p>
      <w:pPr>
        <w:pStyle w:val="0"/>
        <w:spacing w:before="200" w:lineRule="auto"/>
        <w:ind w:firstLine="540"/>
        <w:jc w:val="both"/>
      </w:pPr>
      <w:r>
        <w:rPr>
          <w:sz w:val="20"/>
        </w:rPr>
        <w:t xml:space="preserve">вклад в валовой внутренний продукт - 14,4 трлн. рублей (11 процентов общего объема валового внутреннего продукта), а с учетом видов деятельности, относящихся к </w:t>
      </w:r>
      <w:r>
        <w:rPr>
          <w:sz w:val="20"/>
        </w:rPr>
        <w:t xml:space="preserve">разделу L</w:t>
      </w:r>
      <w:r>
        <w:rPr>
          <w:sz w:val="20"/>
        </w:rPr>
        <w:t xml:space="preserve"> "Деятельность по операциям с недвижимым имуществом" Общероссийского классификатора видов экономической деятельности (ОК 029-2014 (КДЕС Ред. 2), - 24,9 трлн. рублей (19 процентов общего объема валового внутреннего продукта);</w:t>
      </w:r>
    </w:p>
    <w:p>
      <w:pPr>
        <w:pStyle w:val="0"/>
        <w:spacing w:before="200" w:lineRule="auto"/>
        <w:ind w:firstLine="540"/>
        <w:jc w:val="both"/>
      </w:pPr>
      <w:r>
        <w:rPr>
          <w:sz w:val="20"/>
        </w:rPr>
        <w:t xml:space="preserve">общая выручка организаций строительной отрасли и жилищно-коммунального хозяйства - 25,6 трлн. рублей (20,7 процента общего объема выручки организаций по всем видам экономической деятельности);</w:t>
      </w:r>
    </w:p>
    <w:p>
      <w:pPr>
        <w:pStyle w:val="0"/>
        <w:spacing w:before="200" w:lineRule="auto"/>
        <w:ind w:firstLine="540"/>
        <w:jc w:val="both"/>
      </w:pPr>
      <w:r>
        <w:rPr>
          <w:sz w:val="20"/>
        </w:rPr>
        <w:t xml:space="preserve">суммарное поступление налогов в бюджет - 2,89 трлн. рублей (10,3 процента общего объема налогов), а с учетом видов деятельности, относящихся к </w:t>
      </w:r>
      <w:r>
        <w:rPr>
          <w:sz w:val="20"/>
        </w:rPr>
        <w:t xml:space="preserve">разделу L</w:t>
      </w:r>
      <w:r>
        <w:rPr>
          <w:sz w:val="20"/>
        </w:rPr>
        <w:t xml:space="preserve"> "Деятельность по операциям с недвижимым имуществом" Общероссийского классификатора видов экономической деятельности (ОК 029-2014 (КДЕС Ред. 2), - 3,75 трлн. рублей (13,3 процента общего объема налогов);</w:t>
      </w:r>
    </w:p>
    <w:p>
      <w:pPr>
        <w:pStyle w:val="0"/>
        <w:spacing w:before="200" w:lineRule="auto"/>
        <w:ind w:firstLine="540"/>
        <w:jc w:val="both"/>
      </w:pPr>
      <w:r>
        <w:rPr>
          <w:sz w:val="20"/>
        </w:rPr>
        <w:t xml:space="preserve">численность занятых в строительной отрасли и жилищно-коммунальном хозяйстве - 11,1 млн. человек (около 15 процентов общего количества занятых);</w:t>
      </w:r>
    </w:p>
    <w:p>
      <w:pPr>
        <w:pStyle w:val="0"/>
        <w:spacing w:before="200" w:lineRule="auto"/>
        <w:ind w:firstLine="540"/>
        <w:jc w:val="both"/>
      </w:pPr>
      <w:r>
        <w:rPr>
          <w:sz w:val="20"/>
        </w:rPr>
        <w:t xml:space="preserve">ввод жилых и нежилых зданий - 148,4 млн. кв. метров.</w:t>
      </w:r>
    </w:p>
    <w:p>
      <w:pPr>
        <w:pStyle w:val="0"/>
        <w:spacing w:before="200" w:lineRule="auto"/>
        <w:ind w:firstLine="540"/>
        <w:jc w:val="both"/>
      </w:pPr>
      <w:r>
        <w:rPr>
          <w:sz w:val="20"/>
        </w:rPr>
        <w:t xml:space="preserve">В 2021 году объемы жилищного строительства достигли рекордных значений за всю историю России - 92,6 млн. кв. метров, из них многоквартирные дома - 43,5 млн. кв. метров, индивидуальное жилищное строительство - 49,1 млн. кв. метров. Ввод жилья на одного человека в 2021 году составил в городах 0,6 кв. метра, в сельской местности - 0,73 кв. метра. Обеспеченность населения жильем по итогам 2021 года составила 27,8 кв. метра на человека.</w:t>
      </w:r>
    </w:p>
    <w:p>
      <w:pPr>
        <w:pStyle w:val="0"/>
        <w:spacing w:before="200" w:lineRule="auto"/>
        <w:ind w:firstLine="540"/>
        <w:jc w:val="both"/>
      </w:pPr>
      <w:r>
        <w:rPr>
          <w:sz w:val="20"/>
        </w:rPr>
        <w:t xml:space="preserve">Важными компонентами улучшения качества жизни граждан помимо строительства нового жилья и увеличения обеспеченности жильем являются повышение качества жилищно-коммунальных услуг, своевременное обновление и обеспечение жилищного фонда необходимой инфраструктурой. Так, сельский жилой фонд существенно уступает по уровню комфорта городскому (удельный вес общей площади жилых помещений, оборудованных всеми видами благоустройства, в сельских населенных пунктах составляет 39 процентов, в то время как в городах - 81,3 процента).</w:t>
      </w:r>
    </w:p>
    <w:p>
      <w:pPr>
        <w:pStyle w:val="0"/>
        <w:spacing w:before="200" w:lineRule="auto"/>
        <w:ind w:firstLine="540"/>
        <w:jc w:val="both"/>
      </w:pPr>
      <w:r>
        <w:rPr>
          <w:sz w:val="20"/>
        </w:rPr>
        <w:t xml:space="preserve">Решение этих задач является приоритетом развития сферы жилищно-коммунального хозяйства.</w:t>
      </w:r>
    </w:p>
    <w:p>
      <w:pPr>
        <w:pStyle w:val="0"/>
        <w:spacing w:before="200" w:lineRule="auto"/>
        <w:ind w:firstLine="540"/>
        <w:jc w:val="both"/>
      </w:pPr>
      <w:r>
        <w:rPr>
          <w:sz w:val="20"/>
        </w:rPr>
        <w:t xml:space="preserve">В Российской Федерации, по данным Федеральной службы государственной статистики, на конец 2021 года насчитывается более 1,62 млн. многоквартирных домов общей площадью жилых помещений около 2,5 млрд. кв. метров. В региональные программы капитального ремонта включено 723 тыс. многоквартирных домов общей площадью 2,7 млрд. кв. метров (с учетом вспомогательных и нежилых помещений), в которых проживают 89 млн. человек.</w:t>
      </w:r>
    </w:p>
    <w:p>
      <w:pPr>
        <w:pStyle w:val="0"/>
        <w:spacing w:before="200" w:lineRule="auto"/>
        <w:ind w:firstLine="540"/>
        <w:jc w:val="both"/>
      </w:pPr>
      <w:r>
        <w:rPr>
          <w:sz w:val="20"/>
        </w:rPr>
        <w:t xml:space="preserve">Система теплоснабжения Российской Федерации состоит из 50 тыс. локальных систем теплоснабжения и 18 тыс. обслуживающих предприятий. Общая протяженность тепловых сетей составляет 167 тыс. километров. В системах водоснабжения и водоотведения действует около 100 тыс. насосных станций водопровода, 60 тыс. очистных сооружений водопровода, 21 тыс. канализационных насосных станций, 12 тыс. очистных сооружений канализации. Протяженность сетей водоснабжения, по данным Федеральной службы государственной статистики, составляет 574 тыс. километров, сетей водоотведения - около 200 тыс. километров. Актуальной остается проблема ветшания объектов коммунального хозяйства. Более 40 процентов линейных объектов нуждается в обновлении, ежегодно около 3 процентов сетей теплоснабжения, водоснабжения и водоотведения признается аварийными, при этом обновляется не более 1 - 2 процентов.</w:t>
      </w:r>
    </w:p>
    <w:p>
      <w:pPr>
        <w:pStyle w:val="0"/>
        <w:spacing w:before="200" w:lineRule="auto"/>
        <w:ind w:firstLine="540"/>
        <w:jc w:val="both"/>
      </w:pPr>
      <w:r>
        <w:rPr>
          <w:sz w:val="20"/>
        </w:rPr>
        <w:t xml:space="preserve">В 2022 году наша страна столкнулась с новыми вызовами, требующими мобилизации ресурсов и выработки новых подходов к решению актуальных задач в экономике и социальной сфере в условиях внешнего давления и ограничений.</w:t>
      </w:r>
    </w:p>
    <w:p>
      <w:pPr>
        <w:pStyle w:val="0"/>
        <w:spacing w:before="200" w:lineRule="auto"/>
        <w:ind w:firstLine="540"/>
        <w:jc w:val="both"/>
      </w:pPr>
      <w:r>
        <w:rPr>
          <w:sz w:val="20"/>
        </w:rPr>
        <w:t xml:space="preserve">Развитие и поддержка строительной отрасли и жилищно-коммунального хозяйства будут способствовать импортозамещению, созданию новых рабочих мест, увеличению спроса на продукцию промышленных производств, а результаты, которые могут быть достигнуты в этих отраслях, окажут непосредственное влияние на улучшение качества жизни граждан, создание комфортной и безопасной среды, нового качества инфраструктуры для жизни, работы и отдыха человека - главного капитала нашей страны.</w:t>
      </w:r>
    </w:p>
    <w:p>
      <w:pPr>
        <w:pStyle w:val="0"/>
        <w:spacing w:before="200" w:lineRule="auto"/>
        <w:ind w:firstLine="540"/>
        <w:jc w:val="both"/>
      </w:pPr>
      <w:r>
        <w:rPr>
          <w:sz w:val="20"/>
        </w:rPr>
        <w:t xml:space="preserve">Стратегическая задача - реализовать потенциал строительного комплекса, что обеспечит основу развития каждого региона и страны в целом.</w:t>
      </w:r>
    </w:p>
    <w:p>
      <w:pPr>
        <w:pStyle w:val="0"/>
        <w:jc w:val="both"/>
      </w:pPr>
      <w:r>
        <w:rPr>
          <w:sz w:val="20"/>
        </w:rPr>
      </w:r>
    </w:p>
    <w:p>
      <w:pPr>
        <w:pStyle w:val="2"/>
        <w:outlineLvl w:val="1"/>
        <w:jc w:val="center"/>
      </w:pPr>
      <w:r>
        <w:rPr>
          <w:sz w:val="20"/>
        </w:rPr>
        <w:t xml:space="preserve">II. Анализ лучших мировых практик и тенденций</w:t>
      </w:r>
    </w:p>
    <w:p>
      <w:pPr>
        <w:pStyle w:val="0"/>
        <w:jc w:val="both"/>
      </w:pPr>
      <w:r>
        <w:rPr>
          <w:sz w:val="20"/>
        </w:rPr>
      </w:r>
    </w:p>
    <w:p>
      <w:pPr>
        <w:pStyle w:val="2"/>
        <w:outlineLvl w:val="2"/>
        <w:jc w:val="center"/>
      </w:pPr>
      <w:r>
        <w:rPr>
          <w:sz w:val="20"/>
        </w:rPr>
        <w:t xml:space="preserve">1. Изменение образа жизни и тенденций</w:t>
      </w:r>
    </w:p>
    <w:p>
      <w:pPr>
        <w:pStyle w:val="0"/>
        <w:jc w:val="both"/>
      </w:pPr>
      <w:r>
        <w:rPr>
          <w:sz w:val="20"/>
        </w:rPr>
      </w:r>
    </w:p>
    <w:p>
      <w:pPr>
        <w:pStyle w:val="0"/>
        <w:ind w:firstLine="540"/>
        <w:jc w:val="both"/>
      </w:pPr>
      <w:r>
        <w:rPr>
          <w:sz w:val="20"/>
        </w:rPr>
        <w:t xml:space="preserve">Жилье входит в число базовых потребностей человека, поэтому во всех развитых странах одна из важнейших задач государства - обеспечение граждан качественным и доступным жильем. Вместе с тем демографические изменения, ускорение темпов урбанизации, изменения в научно-технологическом развитии формируют глобальные вызовы для жилищной сферы.</w:t>
      </w:r>
    </w:p>
    <w:p>
      <w:pPr>
        <w:pStyle w:val="0"/>
        <w:spacing w:before="200" w:lineRule="auto"/>
        <w:ind w:firstLine="540"/>
        <w:jc w:val="both"/>
      </w:pPr>
      <w:r>
        <w:rPr>
          <w:sz w:val="20"/>
        </w:rPr>
        <w:t xml:space="preserve">Устойчивыми тенденциями в последние годы становятся популяризация здорового образа жизни и "зеленых решений", переход к совместному использованию товаров (экономика совместного потребления), рост спроса на впечатления и развлечения (креативная экономика). Растет спрос на формирование здоровой городской среды, внедрение приоритетов здоровья во все аспекты городского управления.</w:t>
      </w:r>
    </w:p>
    <w:p>
      <w:pPr>
        <w:pStyle w:val="0"/>
        <w:spacing w:before="200" w:lineRule="auto"/>
        <w:ind w:firstLine="540"/>
        <w:jc w:val="both"/>
      </w:pPr>
      <w:r>
        <w:rPr>
          <w:sz w:val="20"/>
        </w:rPr>
        <w:t xml:space="preserve">Смена потребительских предпочтений увеличивает запрос на культурно-досуговую инфраструктуру рядом с домом, на новые архитектурные проекты, сочетающие функциональность, эстетику и комфорт. По мере увеличения плотности застройки в городах растет ценность личного пространства, возможность работать и учиться из дома. Большое внимание уделяется проблемам экологии, сохранения комфортной и безопасной среды обитания для будущих поколений. В мировой строительной практике это нашло свое отражение в интенсивно развивающемся направлении "строительство "зеленых зданий".</w:t>
      </w:r>
    </w:p>
    <w:p>
      <w:pPr>
        <w:pStyle w:val="0"/>
        <w:jc w:val="both"/>
      </w:pPr>
      <w:r>
        <w:rPr>
          <w:sz w:val="20"/>
        </w:rPr>
      </w:r>
    </w:p>
    <w:p>
      <w:pPr>
        <w:pStyle w:val="2"/>
        <w:outlineLvl w:val="2"/>
        <w:jc w:val="center"/>
      </w:pPr>
      <w:r>
        <w:rPr>
          <w:sz w:val="20"/>
        </w:rPr>
        <w:t xml:space="preserve">2. Трансформации в обществе под влиянием новых технологий</w:t>
      </w:r>
    </w:p>
    <w:p>
      <w:pPr>
        <w:pStyle w:val="0"/>
        <w:jc w:val="both"/>
      </w:pPr>
      <w:r>
        <w:rPr>
          <w:sz w:val="20"/>
        </w:rPr>
      </w:r>
    </w:p>
    <w:p>
      <w:pPr>
        <w:pStyle w:val="0"/>
        <w:ind w:firstLine="540"/>
        <w:jc w:val="both"/>
      </w:pPr>
      <w:r>
        <w:rPr>
          <w:sz w:val="20"/>
        </w:rPr>
        <w:t xml:space="preserve">В 2020 - 2021 годах Российская Федерация, как и весь мир, оказалась перед лицом глобального вызова, связанного с распространением новой коронавирусной инфекции COVID-19. В этот период особенно остро встали вопросы жилищного комфорта и необходимости осуществления трудовой деятельности в условиях самоизоляции, а также наличия развитой инфраструктуры в шаговой доступности.</w:t>
      </w:r>
    </w:p>
    <w:p>
      <w:pPr>
        <w:pStyle w:val="0"/>
        <w:spacing w:before="200" w:lineRule="auto"/>
        <w:ind w:firstLine="540"/>
        <w:jc w:val="both"/>
      </w:pPr>
      <w:r>
        <w:rPr>
          <w:sz w:val="20"/>
        </w:rPr>
        <w:t xml:space="preserve">В этой связи в мире сформировалось направление на восстановление экономики через развитие инфраструктуры, снижение транзакционных издержек путем использования технологических и цифровых решений, в том числе на основе искусственного интеллекта, распространение формата "удаленной" работы.</w:t>
      </w:r>
    </w:p>
    <w:p>
      <w:pPr>
        <w:pStyle w:val="0"/>
        <w:jc w:val="both"/>
      </w:pPr>
      <w:r>
        <w:rPr>
          <w:sz w:val="20"/>
        </w:rPr>
      </w:r>
    </w:p>
    <w:p>
      <w:pPr>
        <w:pStyle w:val="2"/>
        <w:outlineLvl w:val="2"/>
        <w:jc w:val="center"/>
      </w:pPr>
      <w:r>
        <w:rPr>
          <w:sz w:val="20"/>
        </w:rPr>
        <w:t xml:space="preserve">3. Формирование комфортной городской среды</w:t>
      </w:r>
    </w:p>
    <w:p>
      <w:pPr>
        <w:pStyle w:val="0"/>
        <w:jc w:val="both"/>
      </w:pPr>
      <w:r>
        <w:rPr>
          <w:sz w:val="20"/>
        </w:rPr>
      </w:r>
    </w:p>
    <w:p>
      <w:pPr>
        <w:pStyle w:val="0"/>
        <w:ind w:firstLine="540"/>
        <w:jc w:val="both"/>
      </w:pPr>
      <w:r>
        <w:rPr>
          <w:sz w:val="20"/>
        </w:rPr>
        <w:t xml:space="preserve">Лучшие мировые практики работы с городской средой направлены на решение социальных и экономических задач, они являются частью стратегий, направленных на обеспечение конкурентоспособности городов и сельских поселений и поддержание их устойчивого развития.</w:t>
      </w:r>
    </w:p>
    <w:p>
      <w:pPr>
        <w:pStyle w:val="0"/>
        <w:spacing w:before="200" w:lineRule="auto"/>
        <w:ind w:firstLine="540"/>
        <w:jc w:val="both"/>
      </w:pPr>
      <w:r>
        <w:rPr>
          <w:sz w:val="20"/>
        </w:rPr>
        <w:t xml:space="preserve">Особое значение в настоящее время приобретают комплексные практики работы с городской средой, направленные на сохранение здоровья жителей, - от теории "пешеходного города", который побуждает человека к движению, удобен для жизни и предпринимательской деятельности, до "здоровых улиц", не только эргономичных, безопасных и экологичных, но также обеспечивающих психологический комфорт.</w:t>
      </w:r>
    </w:p>
    <w:p>
      <w:pPr>
        <w:pStyle w:val="0"/>
        <w:spacing w:before="200" w:lineRule="auto"/>
        <w:ind w:firstLine="540"/>
        <w:jc w:val="both"/>
      </w:pPr>
      <w:r>
        <w:rPr>
          <w:sz w:val="20"/>
        </w:rPr>
        <w:t xml:space="preserve">Не менее важным направлением является реализация проектов по созданию комфортной городской среды с учетом необходимости адаптации городов к изменениям климата. Сегодня работа с зелеными территориями города нацелена не только на обеспечение комфорта для жителей, но и на решение задач по сбережению энергии, экономному расходованию ресурсов, профилактике стихийных бедствий.</w:t>
      </w:r>
    </w:p>
    <w:p>
      <w:pPr>
        <w:pStyle w:val="0"/>
        <w:jc w:val="both"/>
      </w:pPr>
      <w:r>
        <w:rPr>
          <w:sz w:val="20"/>
        </w:rPr>
      </w:r>
    </w:p>
    <w:p>
      <w:pPr>
        <w:pStyle w:val="2"/>
        <w:outlineLvl w:val="2"/>
        <w:jc w:val="center"/>
      </w:pPr>
      <w:r>
        <w:rPr>
          <w:sz w:val="20"/>
        </w:rPr>
        <w:t xml:space="preserve">4. Жилищная политика и жилищно-коммунальное хозяйство</w:t>
      </w:r>
    </w:p>
    <w:p>
      <w:pPr>
        <w:pStyle w:val="0"/>
        <w:jc w:val="both"/>
      </w:pPr>
      <w:r>
        <w:rPr>
          <w:sz w:val="20"/>
        </w:rPr>
      </w:r>
    </w:p>
    <w:p>
      <w:pPr>
        <w:pStyle w:val="0"/>
        <w:ind w:firstLine="540"/>
        <w:jc w:val="both"/>
      </w:pPr>
      <w:r>
        <w:rPr>
          <w:sz w:val="20"/>
        </w:rPr>
        <w:t xml:space="preserve">Актуальными мировыми трендами сегодня также являются декарбонизация сектора жилищно-коммунального хозяйства, создание условий для реализации климатических проектов с привлечением частных инвестиций, а также оценка углеродного следа реализуемых проектов и создание рынка углеродных единиц.</w:t>
      </w:r>
    </w:p>
    <w:p>
      <w:pPr>
        <w:pStyle w:val="0"/>
        <w:spacing w:before="200" w:lineRule="auto"/>
        <w:ind w:firstLine="540"/>
        <w:jc w:val="both"/>
      </w:pPr>
      <w:r>
        <w:rPr>
          <w:sz w:val="20"/>
        </w:rPr>
        <w:t xml:space="preserve">Учитывая, что основную часть жизненного цикла жилого дома занимает период эксплуатации, особую актуальность имеет проблема своевременного обновления жилищного фонда за счет проведения капитального ремонта.</w:t>
      </w:r>
    </w:p>
    <w:p>
      <w:pPr>
        <w:pStyle w:val="0"/>
        <w:spacing w:before="200" w:lineRule="auto"/>
        <w:ind w:firstLine="540"/>
        <w:jc w:val="both"/>
      </w:pPr>
      <w:r>
        <w:rPr>
          <w:sz w:val="20"/>
        </w:rPr>
        <w:t xml:space="preserve">В развитых странах сложилась система энергоэффективного капитального ремонта, важными элементами которой являются специализированные структуры, отвечающие за экспертную (техническую) оценку и реализацию проектов энергоэффективного капитального ремонта, а также механизмы финансирования таких проектов.</w:t>
      </w:r>
    </w:p>
    <w:p>
      <w:pPr>
        <w:pStyle w:val="0"/>
        <w:jc w:val="both"/>
      </w:pPr>
      <w:r>
        <w:rPr>
          <w:sz w:val="20"/>
        </w:rPr>
      </w:r>
    </w:p>
    <w:p>
      <w:pPr>
        <w:pStyle w:val="2"/>
        <w:outlineLvl w:val="1"/>
        <w:jc w:val="center"/>
      </w:pPr>
      <w:r>
        <w:rPr>
          <w:sz w:val="20"/>
        </w:rPr>
        <w:t xml:space="preserve">III. Новая градостроительная политика</w:t>
      </w:r>
    </w:p>
    <w:p>
      <w:pPr>
        <w:pStyle w:val="0"/>
        <w:jc w:val="both"/>
      </w:pPr>
      <w:r>
        <w:rPr>
          <w:sz w:val="20"/>
        </w:rPr>
      </w:r>
    </w:p>
    <w:p>
      <w:pPr>
        <w:pStyle w:val="0"/>
        <w:ind w:firstLine="540"/>
        <w:jc w:val="both"/>
      </w:pPr>
      <w:r>
        <w:rPr>
          <w:sz w:val="20"/>
        </w:rPr>
        <w:t xml:space="preserve">В ближайшее десятилетие необходимо создать основу для сбалансированного развития страны. Важнейшим этапом в решении этой задачи является оптимизация документов и процедур территориального планирования, градостроительного и социально-экономического развития территорий, установление возможности проведения единой градостроительной, тарифной и транспортной политики в городских агломерациях и опорных населенных пунктах, в том числе на межмуниципальном уровне, а также использование единых нормативов по обеспечению инфраструктурой населенных пунктов, учитывая в том числе важность развития сельских поселений, малых и средних городов.</w:t>
      </w:r>
    </w:p>
    <w:p>
      <w:pPr>
        <w:pStyle w:val="0"/>
        <w:spacing w:before="200" w:lineRule="auto"/>
        <w:ind w:firstLine="540"/>
        <w:jc w:val="both"/>
      </w:pPr>
      <w:r>
        <w:rPr>
          <w:sz w:val="20"/>
        </w:rPr>
        <w:t xml:space="preserve">В связи с этим одним из ключевых направлений Стратегии определено формирование новой градостроительной политики.</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документы территориального планирования, градостроительного и социально-экономического развития в настоящее время недостаточно синхронизированы между собой. Процессы их подготовки и актуализации не упорядочены, занимают длительное время;</w:t>
      </w:r>
    </w:p>
    <w:p>
      <w:pPr>
        <w:pStyle w:val="0"/>
        <w:spacing w:before="200" w:lineRule="auto"/>
        <w:ind w:firstLine="540"/>
        <w:jc w:val="both"/>
      </w:pPr>
      <w:r>
        <w:rPr>
          <w:sz w:val="20"/>
        </w:rPr>
        <w:t xml:space="preserve">существующие сроки принятия управленческих решений обуславливают возникновение дисбаланса в развитии территорий;</w:t>
      </w:r>
    </w:p>
    <w:p>
      <w:pPr>
        <w:pStyle w:val="0"/>
        <w:spacing w:before="200" w:lineRule="auto"/>
        <w:ind w:firstLine="540"/>
        <w:jc w:val="both"/>
      </w:pPr>
      <w:r>
        <w:rPr>
          <w:sz w:val="20"/>
        </w:rPr>
        <w:t xml:space="preserve">застройка осуществляется в условиях достигнутого предела экстенсивного развития, увеличивается нагрузка на существующую инфраструктуру, что приводит к дефициту социально значимых объектов и ухудшению качества городской среды.</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создание условий для проведения единой градостроительной, тарифной и транспортной политики в городских агломерациях и опорных населенных пунктах, в том числе на межмуниципальном уровне;</w:t>
      </w:r>
    </w:p>
    <w:p>
      <w:pPr>
        <w:pStyle w:val="0"/>
        <w:spacing w:before="200" w:lineRule="auto"/>
        <w:ind w:firstLine="540"/>
        <w:jc w:val="both"/>
      </w:pPr>
      <w:r>
        <w:rPr>
          <w:sz w:val="20"/>
        </w:rPr>
        <w:t xml:space="preserve">упрощение процесса территориального планирования, в том числе посредством унификации требований к подготовке документов, отказа от бумажных форм, перевода документов и процедур их согласования в электронный вид;</w:t>
      </w:r>
    </w:p>
    <w:p>
      <w:pPr>
        <w:pStyle w:val="0"/>
        <w:spacing w:before="200" w:lineRule="auto"/>
        <w:ind w:firstLine="540"/>
        <w:jc w:val="both"/>
      </w:pPr>
      <w:r>
        <w:rPr>
          <w:sz w:val="20"/>
        </w:rPr>
        <w:t xml:space="preserve">объединение генерального плана и правил землепользования и застройки в единый документ, определяющий основные подходы к градостроительному развитию муниципальных образований;</w:t>
      </w:r>
    </w:p>
    <w:p>
      <w:pPr>
        <w:pStyle w:val="0"/>
        <w:spacing w:before="200" w:lineRule="auto"/>
        <w:ind w:firstLine="540"/>
        <w:jc w:val="both"/>
      </w:pPr>
      <w:r>
        <w:rPr>
          <w:sz w:val="20"/>
        </w:rPr>
        <w:t xml:space="preserve">развитие единой электронной картографической основы, обеспечивающей систематизацию пространственных данных;</w:t>
      </w:r>
    </w:p>
    <w:p>
      <w:pPr>
        <w:pStyle w:val="0"/>
        <w:spacing w:before="200" w:lineRule="auto"/>
        <w:ind w:firstLine="540"/>
        <w:jc w:val="both"/>
      </w:pPr>
      <w:r>
        <w:rPr>
          <w:sz w:val="20"/>
        </w:rPr>
        <w:t xml:space="preserve">формирование в рамках реализации градостроительной политики стимулов для проведения импортозамещения и локализации производств строительных материалов, машин и механизмов, закупки современных технологий в дружественных странах с обеспечением их применения на местах;</w:t>
      </w:r>
    </w:p>
    <w:p>
      <w:pPr>
        <w:pStyle w:val="0"/>
        <w:spacing w:before="200" w:lineRule="auto"/>
        <w:ind w:firstLine="540"/>
        <w:jc w:val="both"/>
      </w:pPr>
      <w:r>
        <w:rPr>
          <w:sz w:val="20"/>
        </w:rPr>
        <w:t xml:space="preserve">снятие в рамках реализации градостроительной политики ограничений для реализации крупных инфраструктурных проектов, повышающих связанность территории страны и обеспечивающих выстроенные логистические коридоры, ускорение перемещения товаров и людей;</w:t>
      </w:r>
    </w:p>
    <w:p>
      <w:pPr>
        <w:pStyle w:val="0"/>
        <w:spacing w:before="200" w:lineRule="auto"/>
        <w:ind w:firstLine="540"/>
        <w:jc w:val="both"/>
      </w:pPr>
      <w:r>
        <w:rPr>
          <w:sz w:val="20"/>
        </w:rPr>
        <w:t xml:space="preserve">создание условий для комфортного проживания населения на сельских территориях и в малых городах, в том числе путем развития межмуниципальных проектов и универсальных центров общественных коммуникаций.</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реализация градостроительной политики с учетом формируемых планов социально-экономического развития ключевых городских агломераций и опорных населенных пунктов, определения ключевых центров экономического роста на территории страны и обеспечения их сбалансированного развития, изменения логистических цепочек в экономике исходя из сложившейся политической и макроэкономической ситуации;</w:t>
      </w:r>
    </w:p>
    <w:p>
      <w:pPr>
        <w:pStyle w:val="0"/>
        <w:spacing w:before="200" w:lineRule="auto"/>
        <w:ind w:firstLine="540"/>
        <w:jc w:val="both"/>
      </w:pPr>
      <w:r>
        <w:rPr>
          <w:sz w:val="20"/>
        </w:rPr>
        <w:t xml:space="preserve">сокращение количества документов, необходимых для реализации градостроительной политики, снятие избыточных ограничений для строительства;</w:t>
      </w:r>
    </w:p>
    <w:p>
      <w:pPr>
        <w:pStyle w:val="0"/>
        <w:spacing w:before="200" w:lineRule="auto"/>
        <w:ind w:firstLine="540"/>
        <w:jc w:val="both"/>
      </w:pPr>
      <w:r>
        <w:rPr>
          <w:sz w:val="20"/>
        </w:rPr>
        <w:t xml:space="preserve">упрощение порядка установления зон с особыми условиями использования территорий, сокращение количества видов таких зон и ограничений на осуществление хозяйственной деятельности в таких зонах;</w:t>
      </w:r>
    </w:p>
    <w:p>
      <w:pPr>
        <w:pStyle w:val="0"/>
        <w:spacing w:before="200" w:lineRule="auto"/>
        <w:ind w:firstLine="540"/>
        <w:jc w:val="both"/>
      </w:pPr>
      <w:r>
        <w:rPr>
          <w:sz w:val="20"/>
        </w:rPr>
        <w:t xml:space="preserve">развитие Единого института пространственного планирования, который будет обеспечивать информационно-методологическую, экспертную поддержку в вопросах формирования и развития городских агломераций, принимать участие в подготовке документов территориального планирования и иных документов, связанных с осуществлением градостроительной деятельности;</w:t>
      </w:r>
    </w:p>
    <w:p>
      <w:pPr>
        <w:pStyle w:val="0"/>
        <w:spacing w:before="200" w:lineRule="auto"/>
        <w:ind w:firstLine="540"/>
        <w:jc w:val="both"/>
      </w:pPr>
      <w:r>
        <w:rPr>
          <w:sz w:val="20"/>
        </w:rPr>
        <w:t xml:space="preserve">развитие национальной системы пространственных данных;</w:t>
      </w:r>
    </w:p>
    <w:p>
      <w:pPr>
        <w:pStyle w:val="0"/>
        <w:spacing w:before="200" w:lineRule="auto"/>
        <w:ind w:firstLine="540"/>
        <w:jc w:val="both"/>
      </w:pPr>
      <w:r>
        <w:rPr>
          <w:sz w:val="20"/>
        </w:rPr>
        <w:t xml:space="preserve">снятие в рамках реализации градостроительной политики ограничений по обеспечению необходимой инфраструктурой объектов капитального строительства в рамках реализации инвестиционных проектов с повышением эффективности использования имущества, находящегося в государственной и муниципальной собственности;</w:t>
      </w:r>
    </w:p>
    <w:p>
      <w:pPr>
        <w:pStyle w:val="0"/>
        <w:spacing w:before="200" w:lineRule="auto"/>
        <w:ind w:firstLine="540"/>
        <w:jc w:val="both"/>
      </w:pPr>
      <w:r>
        <w:rPr>
          <w:sz w:val="20"/>
        </w:rPr>
        <w:t xml:space="preserve">формирование в рамках реализации градостроительной политики консолидированной потребности строительной отрасли в ресурсах, создание условий для локализации производства и импортозамещения в строительстве.</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сформирована система документов, обеспечивающих реализацию единой градостроительной политики в городских агломерациях в соответствии с инициативой социально-экономического развития Российской Федерации "Города больших возможностей и возрождение малых форм расселения";</w:t>
      </w:r>
    </w:p>
    <w:p>
      <w:pPr>
        <w:pStyle w:val="0"/>
        <w:spacing w:before="200" w:lineRule="auto"/>
        <w:ind w:firstLine="540"/>
        <w:jc w:val="both"/>
      </w:pPr>
      <w:r>
        <w:rPr>
          <w:sz w:val="20"/>
        </w:rPr>
        <w:t xml:space="preserve">градостроительная политика реализуется с учетом сформированных планов социально-экономического развития ключевых городских агломераций и опорных населенных пунктов;</w:t>
      </w:r>
    </w:p>
    <w:p>
      <w:pPr>
        <w:pStyle w:val="0"/>
        <w:spacing w:before="200" w:lineRule="auto"/>
        <w:ind w:firstLine="540"/>
        <w:jc w:val="both"/>
      </w:pPr>
      <w:r>
        <w:rPr>
          <w:sz w:val="20"/>
        </w:rPr>
        <w:t xml:space="preserve">повышена эффективность и сокращены сроки принятия градостроительных решений за счет сокращения количества документов, необходимых для реализации градостроительной политики, а также развития национальной системы пространственных данных;</w:t>
      </w:r>
    </w:p>
    <w:p>
      <w:pPr>
        <w:pStyle w:val="0"/>
        <w:spacing w:before="200" w:lineRule="auto"/>
        <w:ind w:firstLine="540"/>
        <w:jc w:val="both"/>
      </w:pPr>
      <w:r>
        <w:rPr>
          <w:sz w:val="20"/>
        </w:rPr>
        <w:t xml:space="preserve">сформирована консолидированная потребность в ресурсах, созданы условия для локализации производства и импортозамещения в строительстве с гарантированным объемом спроса;</w:t>
      </w:r>
    </w:p>
    <w:p>
      <w:pPr>
        <w:pStyle w:val="0"/>
        <w:spacing w:before="200" w:lineRule="auto"/>
        <w:ind w:firstLine="540"/>
        <w:jc w:val="both"/>
      </w:pPr>
      <w:r>
        <w:rPr>
          <w:sz w:val="20"/>
        </w:rPr>
        <w:t xml:space="preserve">определены границы городских агломераций;</w:t>
      </w:r>
    </w:p>
    <w:p>
      <w:pPr>
        <w:pStyle w:val="0"/>
        <w:spacing w:before="200" w:lineRule="auto"/>
        <w:ind w:firstLine="540"/>
        <w:jc w:val="both"/>
      </w:pPr>
      <w:r>
        <w:rPr>
          <w:sz w:val="20"/>
        </w:rPr>
        <w:t xml:space="preserve">повышена инвестиционная привлекательность городских агломераций, сняты ограничения по обеспечению необходимой инфраструктурой объектов, создаваемых в рамках реализации инвестиционных проектов, повышена эффективность использования имущества, находящегося в государственной и муниципальной собственности;</w:t>
      </w:r>
    </w:p>
    <w:p>
      <w:pPr>
        <w:pStyle w:val="0"/>
        <w:spacing w:before="200" w:lineRule="auto"/>
        <w:ind w:firstLine="540"/>
        <w:jc w:val="both"/>
      </w:pPr>
      <w:r>
        <w:rPr>
          <w:sz w:val="20"/>
        </w:rPr>
        <w:t xml:space="preserve">создана аналитическая система поддержки управленческих решений и мониторинга процессов планирования и реализации градостроительной политики;</w:t>
      </w:r>
    </w:p>
    <w:p>
      <w:pPr>
        <w:pStyle w:val="0"/>
        <w:spacing w:before="200" w:lineRule="auto"/>
        <w:ind w:firstLine="540"/>
        <w:jc w:val="both"/>
      </w:pPr>
      <w:r>
        <w:rPr>
          <w:sz w:val="20"/>
        </w:rPr>
        <w:t xml:space="preserve">увеличен объем вовлекаемых в оборот земельных участков для целей жилищного строительства;</w:t>
      </w:r>
    </w:p>
    <w:p>
      <w:pPr>
        <w:pStyle w:val="0"/>
        <w:spacing w:before="200" w:lineRule="auto"/>
        <w:ind w:firstLine="540"/>
        <w:jc w:val="both"/>
      </w:pPr>
      <w:r>
        <w:rPr>
          <w:sz w:val="20"/>
        </w:rPr>
        <w:t xml:space="preserve">принято к 2024 году не менее 500, а к 2030 году не менее 1000 решений о комплексном развитии территорий.</w:t>
      </w:r>
    </w:p>
    <w:p>
      <w:pPr>
        <w:pStyle w:val="0"/>
        <w:jc w:val="both"/>
      </w:pPr>
      <w:r>
        <w:rPr>
          <w:sz w:val="20"/>
        </w:rPr>
      </w:r>
    </w:p>
    <w:p>
      <w:pPr>
        <w:pStyle w:val="2"/>
        <w:outlineLvl w:val="1"/>
        <w:jc w:val="center"/>
      </w:pPr>
      <w:r>
        <w:rPr>
          <w:sz w:val="20"/>
        </w:rPr>
        <w:t xml:space="preserve">IV. Новые жилищные возможности</w:t>
      </w:r>
    </w:p>
    <w:p>
      <w:pPr>
        <w:pStyle w:val="0"/>
        <w:jc w:val="both"/>
      </w:pPr>
      <w:r>
        <w:rPr>
          <w:sz w:val="20"/>
        </w:rPr>
      </w:r>
    </w:p>
    <w:p>
      <w:pPr>
        <w:pStyle w:val="0"/>
        <w:ind w:firstLine="540"/>
        <w:jc w:val="both"/>
      </w:pPr>
      <w:r>
        <w:rPr>
          <w:sz w:val="20"/>
        </w:rPr>
        <w:t xml:space="preserve">Общая площадь жилищного фонда в Российской Федерации, по данным Федеральной службы государственной статистики, на конец 2021 года составила 4,04 млрд. кв. метров, из которых площадь жилых помещений в многоквартирных домах - 2,5 млрд. кв. метров. На одного человека приходится 27,8 кв. метра.</w:t>
      </w:r>
    </w:p>
    <w:p>
      <w:pPr>
        <w:pStyle w:val="0"/>
        <w:spacing w:before="200" w:lineRule="auto"/>
        <w:ind w:firstLine="540"/>
        <w:jc w:val="both"/>
      </w:pPr>
      <w:r>
        <w:rPr>
          <w:sz w:val="20"/>
        </w:rPr>
        <w:t xml:space="preserve">Совокупный объем ввода жилья на территории Российской Федерации в период с 2011 по 2021 годы составил 859,9 млн. кв. метров. По итогам 2021 года объем ввода жилья составил 92,6 млн. кв. метров, в том числе многоквартирных домов 43,5 млн. кв. метров, индивидуальных жилых домов 49,1 млн. кв. метров.</w:t>
      </w:r>
    </w:p>
    <w:p>
      <w:pPr>
        <w:pStyle w:val="0"/>
        <w:spacing w:before="200" w:lineRule="auto"/>
        <w:ind w:firstLine="540"/>
        <w:jc w:val="both"/>
      </w:pPr>
      <w:r>
        <w:rPr>
          <w:sz w:val="20"/>
        </w:rPr>
        <w:t xml:space="preserve">В советский период осуществлялось преимущественно строительство многоквартирного жилья, доля индивидуальных жилых домов в общем объеме вводимого жилья не превышала 12 процентов. Рост объемов индивидуального жилищного строительства начался в 1990-х годах и в 2021 году достиг максимума в 53 процента. Рост доли индивидуального жилья в общем объеме вводимого жилья обусловлен повышением его привлекательности для населения и упрощением административных процедур, связанных со строительством и постановкой на государственный кадастровый учет объектов индивидуального жилищного строительства.</w:t>
      </w:r>
    </w:p>
    <w:p>
      <w:pPr>
        <w:pStyle w:val="0"/>
        <w:spacing w:before="200" w:lineRule="auto"/>
        <w:ind w:firstLine="540"/>
        <w:jc w:val="both"/>
      </w:pPr>
      <w:r>
        <w:rPr>
          <w:sz w:val="20"/>
        </w:rPr>
        <w:t xml:space="preserve">В целях полного исключения возможности появления новых обманутых дольщиков в 2020 году завершена масштабная реформа законодательства Российской Федерации в сфере долевого строительства и обеспечен переход на проектное финансирование с использованием счетов эскроу. На конец 2021 года почти 74 млн. кв. метров жилья (около 77 процентов всего жилья, строящегося на основе долевого участия) строилось с использованием счетов эскроу, а объем введенного жилья, построенного с использованием счетов эскроу, в 2021 году увеличился по сравнению с 2020 годом в 3 раза и составил 16 млн. кв. метров (2132 дома).</w:t>
      </w:r>
    </w:p>
    <w:p>
      <w:pPr>
        <w:pStyle w:val="0"/>
        <w:spacing w:before="200" w:lineRule="auto"/>
        <w:ind w:firstLine="540"/>
        <w:jc w:val="both"/>
      </w:pPr>
      <w:r>
        <w:rPr>
          <w:sz w:val="20"/>
        </w:rPr>
        <w:t xml:space="preserve">Стратегическими целями являются:</w:t>
      </w:r>
    </w:p>
    <w:p>
      <w:pPr>
        <w:pStyle w:val="0"/>
        <w:spacing w:before="200" w:lineRule="auto"/>
        <w:ind w:firstLine="540"/>
        <w:jc w:val="both"/>
      </w:pPr>
      <w:r>
        <w:rPr>
          <w:sz w:val="20"/>
        </w:rPr>
        <w:t xml:space="preserve">обеспечение доступности приобретения, строительства или аренды жилья не менее чем двум третям (67 процентов) граждан страны;</w:t>
      </w:r>
    </w:p>
    <w:p>
      <w:pPr>
        <w:pStyle w:val="0"/>
        <w:spacing w:before="200" w:lineRule="auto"/>
        <w:ind w:firstLine="540"/>
        <w:jc w:val="both"/>
      </w:pPr>
      <w:r>
        <w:rPr>
          <w:sz w:val="20"/>
        </w:rPr>
        <w:t xml:space="preserve">ввод более 1 млрд. кв. метров жилья (за период 2021 - 2030 годов), в том числе многоквартирных домов не менее 550 млн. кв. метров, индивидуальных жилых домов не менее 450 млн. кв. метров, и формирование основы для дальнейшего развития жилищного строительства.</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около двух третей граждан хотят улучшить жилищные условия, однако финансовые возможности и инструменты для приобретения жилья ограничены;</w:t>
      </w:r>
    </w:p>
    <w:p>
      <w:pPr>
        <w:pStyle w:val="0"/>
        <w:spacing w:before="200" w:lineRule="auto"/>
        <w:ind w:firstLine="540"/>
        <w:jc w:val="both"/>
      </w:pPr>
      <w:r>
        <w:rPr>
          <w:sz w:val="20"/>
        </w:rPr>
        <w:t xml:space="preserve">несоответствие жилищных условий и городской инфраструктуры растущим запросам граждан относительно уровня комфорта, экологичности и безопасности жилья;</w:t>
      </w:r>
    </w:p>
    <w:p>
      <w:pPr>
        <w:pStyle w:val="0"/>
        <w:spacing w:before="200" w:lineRule="auto"/>
        <w:ind w:firstLine="540"/>
        <w:jc w:val="both"/>
      </w:pPr>
      <w:r>
        <w:rPr>
          <w:sz w:val="20"/>
        </w:rPr>
        <w:t xml:space="preserve">неэффективное использование территорий, на которых возможно жилищное строительство;</w:t>
      </w:r>
    </w:p>
    <w:p>
      <w:pPr>
        <w:pStyle w:val="0"/>
        <w:spacing w:before="200" w:lineRule="auto"/>
        <w:ind w:firstLine="540"/>
        <w:jc w:val="both"/>
      </w:pPr>
      <w:r>
        <w:rPr>
          <w:sz w:val="20"/>
        </w:rPr>
        <w:t xml:space="preserve">сложности с изъятием неэффективно используемых земельных участков, отсутствие свободных участков под застройку в центральных районах городов;</w:t>
      </w:r>
    </w:p>
    <w:p>
      <w:pPr>
        <w:pStyle w:val="0"/>
        <w:spacing w:before="200" w:lineRule="auto"/>
        <w:ind w:firstLine="540"/>
        <w:jc w:val="both"/>
      </w:pPr>
      <w:r>
        <w:rPr>
          <w:sz w:val="20"/>
        </w:rPr>
        <w:t xml:space="preserve">монополизированный рынок обеспечения застраиваемых территорий объектами инженерной, транспортной и социальной инфраструктур, в застроенных районах в основном отсутствуют резервы мощностей для нового строительства, на вновь застраиваемых территориях наблюдается полное отсутствие коммуникаций, сроки ввода в эксплуатацию объектов инфраструктуры не синхронизированы со сроками строительства домов;</w:t>
      </w:r>
    </w:p>
    <w:p>
      <w:pPr>
        <w:pStyle w:val="0"/>
        <w:spacing w:before="200" w:lineRule="auto"/>
        <w:ind w:firstLine="540"/>
        <w:jc w:val="both"/>
      </w:pPr>
      <w:r>
        <w:rPr>
          <w:sz w:val="20"/>
        </w:rPr>
        <w:t xml:space="preserve">действующие меры поддержки спроса и предложения недостаточно эффективны в отдельных регионах страны в связи со значительными различиями в структуре себестоимости жилищного строительства, инфраструктурной обеспеченности территорий и уровне платежеспособности населения;</w:t>
      </w:r>
    </w:p>
    <w:p>
      <w:pPr>
        <w:pStyle w:val="0"/>
        <w:spacing w:before="200" w:lineRule="auto"/>
        <w:ind w:firstLine="540"/>
        <w:jc w:val="both"/>
      </w:pPr>
      <w:r>
        <w:rPr>
          <w:sz w:val="20"/>
        </w:rPr>
        <w:t xml:space="preserve">для обеспечения строительства в 2021 - 2030 годах 1 млрд. кв. метров жилья необходимо около 86 трлн. рублей. Достижение национальной цели по увеличению объема жилищного строительства не менее чем до 120 млн. кв. метров в год невозможно без обеспечения устойчивого роста реальных располагаемых денежных доходов населения в соответствии с базовым сценарием социально-экономического развития Российской Федерации (на 25 процентов за 2021 - 2030 годы).</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приоритетное применение механизмов комплексного развития территорий;</w:t>
      </w:r>
    </w:p>
    <w:p>
      <w:pPr>
        <w:pStyle w:val="0"/>
        <w:spacing w:before="200" w:lineRule="auto"/>
        <w:ind w:firstLine="540"/>
        <w:jc w:val="both"/>
      </w:pPr>
      <w:r>
        <w:rPr>
          <w:sz w:val="20"/>
        </w:rPr>
        <w:t xml:space="preserve">осуществление эффективного территориального планирования и градостроительного зонирования в целях сбалансированного пространственного развития городских агломераций и возрождения малых форм расселения;</w:t>
      </w:r>
    </w:p>
    <w:p>
      <w:pPr>
        <w:pStyle w:val="0"/>
        <w:spacing w:before="200" w:lineRule="auto"/>
        <w:ind w:firstLine="540"/>
        <w:jc w:val="both"/>
      </w:pPr>
      <w:r>
        <w:rPr>
          <w:sz w:val="20"/>
        </w:rPr>
        <w:t xml:space="preserve">синхронизация инвестиционных программ естественных монополий с планами жилищного строительства;</w:t>
      </w:r>
    </w:p>
    <w:p>
      <w:pPr>
        <w:pStyle w:val="0"/>
        <w:spacing w:before="200" w:lineRule="auto"/>
        <w:ind w:firstLine="540"/>
        <w:jc w:val="both"/>
      </w:pPr>
      <w:r>
        <w:rPr>
          <w:sz w:val="20"/>
        </w:rPr>
        <w:t xml:space="preserve">обеспечение территорий под жилищное строительство необходимой социальной, коммунальной, транспортной и иной инфраструктурой, в том числе с использованием финансовых инструментов, предусмотренных федеральным проектом "Инфраструктурное меню";</w:t>
      </w:r>
    </w:p>
    <w:p>
      <w:pPr>
        <w:pStyle w:val="0"/>
        <w:spacing w:before="200" w:lineRule="auto"/>
        <w:ind w:firstLine="540"/>
        <w:jc w:val="both"/>
      </w:pPr>
      <w:r>
        <w:rPr>
          <w:sz w:val="20"/>
        </w:rPr>
        <w:t xml:space="preserve">вовлечение в оборот земельных участков в объеме, необходимом для достижения национальной цели по увеличению объема жилищного строительства не менее чем до 120 млн. кв. метров в год;</w:t>
      </w:r>
    </w:p>
    <w:p>
      <w:pPr>
        <w:pStyle w:val="0"/>
        <w:spacing w:before="200" w:lineRule="auto"/>
        <w:ind w:firstLine="540"/>
        <w:jc w:val="both"/>
      </w:pPr>
      <w:r>
        <w:rPr>
          <w:sz w:val="20"/>
        </w:rPr>
        <w:t xml:space="preserve">развитие рынка ипотечного кредитования, в том числе за счет льготных ипотечных программ, направленных на поддержку отдельных категорий граждан (семьи с детьми, молодые профессионалы и др.);</w:t>
      </w:r>
    </w:p>
    <w:p>
      <w:pPr>
        <w:pStyle w:val="0"/>
        <w:spacing w:before="200" w:lineRule="auto"/>
        <w:ind w:firstLine="540"/>
        <w:jc w:val="both"/>
      </w:pPr>
      <w:r>
        <w:rPr>
          <w:sz w:val="20"/>
        </w:rPr>
        <w:t xml:space="preserve">развитие индивидуального жилищного строительства, в том числе в рамках реализации инициативы социально-экономического развития Российской Федерации "Мой частный дом";</w:t>
      </w:r>
    </w:p>
    <w:p>
      <w:pPr>
        <w:pStyle w:val="0"/>
        <w:spacing w:before="200" w:lineRule="auto"/>
        <w:ind w:firstLine="540"/>
        <w:jc w:val="both"/>
      </w:pPr>
      <w:r>
        <w:rPr>
          <w:sz w:val="20"/>
        </w:rPr>
        <w:t xml:space="preserve">восстановление прав всех обманутых граждан - участников долевого строительства;</w:t>
      </w:r>
    </w:p>
    <w:p>
      <w:pPr>
        <w:pStyle w:val="0"/>
        <w:spacing w:before="200" w:lineRule="auto"/>
        <w:ind w:firstLine="540"/>
        <w:jc w:val="both"/>
      </w:pPr>
      <w:r>
        <w:rPr>
          <w:sz w:val="20"/>
        </w:rPr>
        <w:t xml:space="preserve">реализация новой программы расселения;</w:t>
      </w:r>
    </w:p>
    <w:p>
      <w:pPr>
        <w:pStyle w:val="0"/>
        <w:spacing w:before="200" w:lineRule="auto"/>
        <w:ind w:firstLine="540"/>
        <w:jc w:val="both"/>
      </w:pPr>
      <w:r>
        <w:rPr>
          <w:sz w:val="20"/>
        </w:rPr>
        <w:t xml:space="preserve">выполнение государственных обязательств по обеспечению жильем отдельных категорий граждан;</w:t>
      </w:r>
    </w:p>
    <w:p>
      <w:pPr>
        <w:pStyle w:val="0"/>
        <w:spacing w:before="200" w:lineRule="auto"/>
        <w:ind w:firstLine="540"/>
        <w:jc w:val="both"/>
      </w:pPr>
      <w:r>
        <w:rPr>
          <w:sz w:val="20"/>
        </w:rPr>
        <w:t xml:space="preserve">активное формирование и развитие рынка арендного жилья;</w:t>
      </w:r>
    </w:p>
    <w:p>
      <w:pPr>
        <w:pStyle w:val="0"/>
        <w:spacing w:before="200" w:lineRule="auto"/>
        <w:ind w:firstLine="540"/>
        <w:jc w:val="both"/>
      </w:pPr>
      <w:r>
        <w:rPr>
          <w:sz w:val="20"/>
        </w:rPr>
        <w:t xml:space="preserve">совершенствование подходов к применению мер поддержки жилищного строительства, в том числе с учетом особенностей отдельных субъектов Российской Федерации.</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обеспечено ежегодное улучшение жилищных условий не менее 5 млн. семей;</w:t>
      </w:r>
    </w:p>
    <w:p>
      <w:pPr>
        <w:pStyle w:val="0"/>
        <w:spacing w:before="200" w:lineRule="auto"/>
        <w:ind w:firstLine="540"/>
        <w:jc w:val="both"/>
      </w:pPr>
      <w:r>
        <w:rPr>
          <w:sz w:val="20"/>
        </w:rPr>
        <w:t xml:space="preserve">достигнуты объемы ввода жилья в размере не менее 120 млн. кв. метров ежегодно;</w:t>
      </w:r>
    </w:p>
    <w:p>
      <w:pPr>
        <w:pStyle w:val="0"/>
        <w:spacing w:before="200" w:lineRule="auto"/>
        <w:ind w:firstLine="540"/>
        <w:jc w:val="both"/>
      </w:pPr>
      <w:r>
        <w:rPr>
          <w:sz w:val="20"/>
        </w:rPr>
        <w:t xml:space="preserve">более чем на 20 процентов обновлен жилищный фонд к 2030 году;</w:t>
      </w:r>
    </w:p>
    <w:p>
      <w:pPr>
        <w:pStyle w:val="0"/>
        <w:spacing w:before="200" w:lineRule="auto"/>
        <w:ind w:firstLine="540"/>
        <w:jc w:val="both"/>
      </w:pPr>
      <w:r>
        <w:rPr>
          <w:sz w:val="20"/>
        </w:rPr>
        <w:t xml:space="preserve">достигнута обеспеченность населения жильем на уровне не менее 33,3 кв. метра на 1 человека к 2030 году;</w:t>
      </w:r>
    </w:p>
    <w:p>
      <w:pPr>
        <w:pStyle w:val="0"/>
        <w:spacing w:before="200" w:lineRule="auto"/>
        <w:ind w:firstLine="540"/>
        <w:jc w:val="both"/>
      </w:pPr>
      <w:r>
        <w:rPr>
          <w:sz w:val="20"/>
        </w:rPr>
        <w:t xml:space="preserve">обеспечен объем многоквартирных домов, находящихся в стадии строительства, в размере не менее 140 млн. кв. метров;</w:t>
      </w:r>
    </w:p>
    <w:p>
      <w:pPr>
        <w:pStyle w:val="0"/>
        <w:spacing w:before="200" w:lineRule="auto"/>
        <w:ind w:firstLine="540"/>
        <w:jc w:val="both"/>
      </w:pPr>
      <w:r>
        <w:rPr>
          <w:sz w:val="20"/>
        </w:rPr>
        <w:t xml:space="preserve">созданы условия для ускоренной ликвидации накопившейся очереди отдельных категорий граждан, нуждающихся в улучшении жилищных условий, и осуществлен переход на обеспечение их жильем в плановом порядке;</w:t>
      </w:r>
    </w:p>
    <w:p>
      <w:pPr>
        <w:pStyle w:val="0"/>
        <w:spacing w:before="200" w:lineRule="auto"/>
        <w:ind w:firstLine="540"/>
        <w:jc w:val="both"/>
      </w:pPr>
      <w:r>
        <w:rPr>
          <w:sz w:val="20"/>
        </w:rPr>
        <w:t xml:space="preserve">восстановлены права всех обманутых граждан - участников долевого строительства;</w:t>
      </w:r>
    </w:p>
    <w:p>
      <w:pPr>
        <w:pStyle w:val="0"/>
        <w:spacing w:before="200" w:lineRule="auto"/>
        <w:ind w:firstLine="540"/>
        <w:jc w:val="both"/>
      </w:pPr>
      <w:r>
        <w:rPr>
          <w:sz w:val="20"/>
        </w:rPr>
        <w:t xml:space="preserve">обеспечено превышение ежегодного объема расселения над ежегодным объемом признания жилья аварийным;</w:t>
      </w:r>
    </w:p>
    <w:p>
      <w:pPr>
        <w:pStyle w:val="0"/>
        <w:spacing w:before="200" w:lineRule="auto"/>
        <w:ind w:firstLine="540"/>
        <w:jc w:val="both"/>
      </w:pPr>
      <w:r>
        <w:rPr>
          <w:sz w:val="20"/>
        </w:rPr>
        <w:t xml:space="preserve">увеличены объемы индивидуального жилищного строительства, в том числе индустриальным способом;</w:t>
      </w:r>
    </w:p>
    <w:p>
      <w:pPr>
        <w:pStyle w:val="0"/>
        <w:spacing w:before="200" w:lineRule="auto"/>
        <w:ind w:firstLine="540"/>
        <w:jc w:val="both"/>
      </w:pPr>
      <w:r>
        <w:rPr>
          <w:sz w:val="20"/>
        </w:rPr>
        <w:t xml:space="preserve">увеличение доли жилья, строящегося с применением мер поддержки спроса и предложения на жилье.</w:t>
      </w:r>
    </w:p>
    <w:p>
      <w:pPr>
        <w:pStyle w:val="0"/>
        <w:jc w:val="both"/>
      </w:pPr>
      <w:r>
        <w:rPr>
          <w:sz w:val="20"/>
        </w:rPr>
      </w:r>
    </w:p>
    <w:p>
      <w:pPr>
        <w:pStyle w:val="2"/>
        <w:outlineLvl w:val="2"/>
        <w:jc w:val="center"/>
      </w:pPr>
      <w:r>
        <w:rPr>
          <w:sz w:val="20"/>
        </w:rPr>
        <w:t xml:space="preserve">Новые подходы к поддержке жилищного строительства в регионах</w:t>
      </w:r>
    </w:p>
    <w:p>
      <w:pPr>
        <w:pStyle w:val="0"/>
        <w:jc w:val="both"/>
      </w:pPr>
      <w:r>
        <w:rPr>
          <w:sz w:val="20"/>
        </w:rPr>
      </w:r>
    </w:p>
    <w:p>
      <w:pPr>
        <w:pStyle w:val="0"/>
        <w:ind w:firstLine="540"/>
        <w:jc w:val="both"/>
      </w:pPr>
      <w:r>
        <w:rPr>
          <w:sz w:val="20"/>
        </w:rPr>
        <w:t xml:space="preserve">Опыт реализации текущих программ государственной поддержки жилищного строительства свидетельствует о том, что их применение без учета фактической ситуации в регионах может привести к нарушению баланса спроса и предложения и снижению объемов строящегося жилья либо его доступности.</w:t>
      </w:r>
    </w:p>
    <w:p>
      <w:pPr>
        <w:pStyle w:val="0"/>
        <w:spacing w:before="200" w:lineRule="auto"/>
        <w:ind w:firstLine="540"/>
        <w:jc w:val="both"/>
      </w:pPr>
      <w:r>
        <w:rPr>
          <w:sz w:val="20"/>
        </w:rPr>
        <w:t xml:space="preserve">Для получения наибольшего эффекта предлагается распределить субъекты Российской Федерации по 5 основным кластерам рынка жилья для последующего применения в субъектах Российской Федерации соответствующих мер поддержки жилищного строительства.</w:t>
      </w:r>
    </w:p>
    <w:p>
      <w:pPr>
        <w:pStyle w:val="0"/>
        <w:spacing w:before="200" w:lineRule="auto"/>
        <w:ind w:firstLine="540"/>
        <w:jc w:val="both"/>
      </w:pPr>
      <w:r>
        <w:rPr>
          <w:sz w:val="20"/>
        </w:rPr>
        <w:t xml:space="preserve">Кластер 1 "Динамичные" - высокий приток и темпы роста населения при больших объемах ввода жилья, не покрывающих спроса и приводящих к низкой доступности жилья.</w:t>
      </w:r>
    </w:p>
    <w:p>
      <w:pPr>
        <w:pStyle w:val="0"/>
        <w:spacing w:before="200" w:lineRule="auto"/>
        <w:ind w:firstLine="540"/>
        <w:jc w:val="both"/>
      </w:pPr>
      <w:r>
        <w:rPr>
          <w:sz w:val="20"/>
        </w:rPr>
        <w:t xml:space="preserve">Кластер 2 "С нехваткой спроса" - снижение численности населения и доходов, низкие объемы ввода жилья при избыточном предложении на рынке жилой недвижимости и высоком уровне доступности жилья.</w:t>
      </w:r>
    </w:p>
    <w:p>
      <w:pPr>
        <w:pStyle w:val="0"/>
        <w:spacing w:before="200" w:lineRule="auto"/>
        <w:ind w:firstLine="540"/>
        <w:jc w:val="both"/>
      </w:pPr>
      <w:r>
        <w:rPr>
          <w:sz w:val="20"/>
        </w:rPr>
        <w:t xml:space="preserve">Кластер 3 "С нехваткой предложения" - отток населения и низкие объемы ввода жилья, не покрывающие спрос, приводят к низкой доступности жилья.</w:t>
      </w:r>
    </w:p>
    <w:p>
      <w:pPr>
        <w:pStyle w:val="0"/>
        <w:spacing w:before="200" w:lineRule="auto"/>
        <w:ind w:firstLine="540"/>
        <w:jc w:val="both"/>
      </w:pPr>
      <w:r>
        <w:rPr>
          <w:sz w:val="20"/>
        </w:rPr>
        <w:t xml:space="preserve">Кластер 4 "Стагнирующие" - баланс спроса и предложения при невысоких объемах жилищного строительства обеспечивает доступность жилья.</w:t>
      </w:r>
    </w:p>
    <w:p>
      <w:pPr>
        <w:pStyle w:val="0"/>
        <w:spacing w:before="200" w:lineRule="auto"/>
        <w:ind w:firstLine="540"/>
        <w:jc w:val="both"/>
      </w:pPr>
      <w:r>
        <w:rPr>
          <w:sz w:val="20"/>
        </w:rPr>
        <w:t xml:space="preserve">Кластер 5 "Депрессивные (сложные)" - активное снижение численности населения и наиболее низкие объемы ввода жилья.</w:t>
      </w:r>
    </w:p>
    <w:p>
      <w:pPr>
        <w:pStyle w:val="0"/>
        <w:spacing w:before="200" w:lineRule="auto"/>
        <w:ind w:firstLine="540"/>
        <w:jc w:val="both"/>
      </w:pPr>
      <w:r>
        <w:rPr>
          <w:sz w:val="20"/>
        </w:rPr>
        <w:t xml:space="preserve">При этом ипотека, в том числе льготная, рассматривается как механизм поддержки спроса в каждом регионе.</w:t>
      </w:r>
    </w:p>
    <w:p>
      <w:pPr>
        <w:pStyle w:val="0"/>
        <w:spacing w:before="200" w:lineRule="auto"/>
        <w:ind w:firstLine="540"/>
        <w:jc w:val="both"/>
      </w:pPr>
      <w:r>
        <w:rPr>
          <w:sz w:val="20"/>
        </w:rPr>
        <w:t xml:space="preserve">При базовом сценарии социально-экономического развития России, предполагающем рост реальных доходов населения на 25 процентов за 2021 - 2030 годы, адресное применение действующих мер поддержки в субъектах Российской Федерации на основе кластеризации обеспечит достижение целевого показателя национальной цели развития - ввод 120 млн. кв. метров жилья в 2030 году.</w:t>
      </w:r>
    </w:p>
    <w:p>
      <w:pPr>
        <w:pStyle w:val="0"/>
        <w:spacing w:before="200" w:lineRule="auto"/>
        <w:ind w:firstLine="540"/>
        <w:jc w:val="both"/>
      </w:pPr>
      <w:r>
        <w:rPr>
          <w:sz w:val="20"/>
        </w:rPr>
        <w:t xml:space="preserve">При экономическом росте и росте реальных доходов населения ниже предусмотренных базовым сценарием темпов достижение плановых объемов ввода жилья в 2030 году возможно при условии увеличения объемов финансирования действующих и дополнительных мер поддержки отдельных категорий граждан, которым не доступно приобретение жилья на рыночных условиях.</w:t>
      </w:r>
    </w:p>
    <w:p>
      <w:pPr>
        <w:pStyle w:val="0"/>
        <w:jc w:val="both"/>
      </w:pPr>
      <w:r>
        <w:rPr>
          <w:sz w:val="20"/>
        </w:rPr>
      </w:r>
    </w:p>
    <w:p>
      <w:pPr>
        <w:pStyle w:val="2"/>
        <w:outlineLvl w:val="2"/>
        <w:jc w:val="center"/>
      </w:pPr>
      <w:r>
        <w:rPr>
          <w:sz w:val="20"/>
        </w:rPr>
        <w:t xml:space="preserve">Развитие ипотечного кредитования</w:t>
      </w:r>
    </w:p>
    <w:p>
      <w:pPr>
        <w:pStyle w:val="0"/>
        <w:jc w:val="both"/>
      </w:pPr>
      <w:r>
        <w:rPr>
          <w:sz w:val="20"/>
        </w:rPr>
      </w:r>
    </w:p>
    <w:p>
      <w:pPr>
        <w:pStyle w:val="0"/>
        <w:ind w:firstLine="540"/>
        <w:jc w:val="both"/>
      </w:pPr>
      <w:r>
        <w:rPr>
          <w:sz w:val="20"/>
        </w:rPr>
        <w:t xml:space="preserve">Ипотечное кредитование является основным рыночным способом улучшения жилищных условий. Ежегодно около 50 процентов всех сделок с жильем оформляется с привлечением кредитных средств, а в 2020 - 2021 годах в условиях низких ставок по рыночным кредитам и реализации программы "Льготной ипотеки" эта доля достигала 75 - 80 процентов на первичном рынке.</w:t>
      </w:r>
    </w:p>
    <w:p>
      <w:pPr>
        <w:pStyle w:val="0"/>
        <w:spacing w:before="200" w:lineRule="auto"/>
        <w:ind w:firstLine="540"/>
        <w:jc w:val="both"/>
      </w:pPr>
      <w:r>
        <w:rPr>
          <w:sz w:val="20"/>
        </w:rPr>
        <w:t xml:space="preserve">Ежегодно с помощью ипотеки более 1,3 - 1,8 млн. семей приобретают жилье. Ипотечный кредит выплачивает каждая 10-я российская семья (более 7 млн. семей). В последние годы темп прироста ипотечного портфеля превышает 20 процентов. С учетом секьюритизации ипотечных кредитов ипотечный портфель составляет 12,9 трлн. рублей (в том числе менее 1 процента составляют кредиты на индивидуальное жилищное строительство) - около 10 процентов годового объема валового внутреннего продукта, а доля ипотеки в совокупных кредитах населения - около 48 процентов. Существует потенциал роста рынка ипотеки в 1,5 раза, до 15 процентов валового внутреннего продукта и более.</w:t>
      </w:r>
    </w:p>
    <w:p>
      <w:pPr>
        <w:pStyle w:val="0"/>
        <w:spacing w:before="200" w:lineRule="auto"/>
        <w:ind w:firstLine="540"/>
        <w:jc w:val="both"/>
      </w:pPr>
      <w:r>
        <w:rPr>
          <w:sz w:val="20"/>
        </w:rPr>
        <w:t xml:space="preserve">В 2021 году выдано 1,9 млн. ипотечных кредитов (+ 7 процентов к 2020 году) на общую сумму 5,7 трлн. рублей (+ 28 процентов к 2020 году), в том числе по льготным программам выдано 24 процента всех ипотечных кредитов (476 тыс. на 1542 млрд. рублей). На цели приобретения и строительства индивидуальных домов выдано 37 тыс. кредитов на 121 млрд. рублей (2 процента всего количества выданных ипотек). Средний уровень ипотечной ставки с начала года составил 7,49 процента (на новостройки - 5,9 процента, на жилье на вторичном рынке - 8,31 процента).</w:t>
      </w:r>
    </w:p>
    <w:p>
      <w:pPr>
        <w:pStyle w:val="0"/>
        <w:spacing w:before="200" w:lineRule="auto"/>
        <w:ind w:firstLine="540"/>
        <w:jc w:val="both"/>
      </w:pPr>
      <w:r>
        <w:rPr>
          <w:sz w:val="20"/>
        </w:rPr>
        <w:t xml:space="preserve">В 2020 году в целях поддержки граждан и рынков жилья и ипотеки в условиях ухудшения макроэкономической ситуации из-за пандемии запущена программа льготной ипотеки на новостройки. Принятые решения позволили не допустить снижения уровня ипотеки и жилищного строительства. Объем выдачи ипотеки в 2021 году на новостройки (476 тыс. на 1 881 млрд. рублей) на 40 процентов больше в количественном выражении и на 104 процента - в денежном, чем в докризисном 2019 году.</w:t>
      </w:r>
    </w:p>
    <w:p>
      <w:pPr>
        <w:pStyle w:val="0"/>
        <w:spacing w:before="200" w:lineRule="auto"/>
        <w:ind w:firstLine="540"/>
        <w:jc w:val="both"/>
      </w:pPr>
      <w:r>
        <w:rPr>
          <w:sz w:val="20"/>
        </w:rPr>
        <w:t xml:space="preserve">С помощью единой информационной системы жилищного строительства организовано единое цифровое пространство для взаимодействия ключевых участников рынков жилищного строительства и ипотечного кредитования, реализована платформа для оперативного запуска любых программ поддержки населения и отрасли.</w:t>
      </w:r>
    </w:p>
    <w:p>
      <w:pPr>
        <w:pStyle w:val="0"/>
        <w:spacing w:before="200" w:lineRule="auto"/>
        <w:ind w:firstLine="540"/>
        <w:jc w:val="both"/>
      </w:pPr>
      <w:r>
        <w:rPr>
          <w:sz w:val="20"/>
        </w:rPr>
        <w:t xml:space="preserve">Вызовом является недоступность ипотеки для 50 процентов населения при значении рыночной ставки по ипотеке на уровне 9 - 10 процентов и отсутствие роста реальных доходов населения как основы для формирования долгосрочного стабильного спроса на жилье.</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обеспечение доступности ипотеки за счет снижения ипотечной ставки;</w:t>
      </w:r>
    </w:p>
    <w:p>
      <w:pPr>
        <w:pStyle w:val="0"/>
        <w:spacing w:before="200" w:lineRule="auto"/>
        <w:ind w:firstLine="540"/>
        <w:jc w:val="both"/>
      </w:pPr>
      <w:r>
        <w:rPr>
          <w:sz w:val="20"/>
        </w:rPr>
        <w:t xml:space="preserve">обеспечение стабильного долгосрочного спроса на жилье и опережающего роста запуска новых проектов.</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реализация комплекса мероприятий по достижению национальной цели "Улучшение жилищных условий не менее 5 млн. семей ежегодно" в части снижения уровня процентной ставки по ипотечным кредитам;</w:t>
      </w:r>
    </w:p>
    <w:p>
      <w:pPr>
        <w:pStyle w:val="0"/>
        <w:spacing w:before="200" w:lineRule="auto"/>
        <w:ind w:firstLine="540"/>
        <w:jc w:val="both"/>
      </w:pPr>
      <w:r>
        <w:rPr>
          <w:sz w:val="20"/>
        </w:rPr>
        <w:t xml:space="preserve">повышение инвестиционной привлекательности и ликвидности ипотечных ценных бумаг;</w:t>
      </w:r>
    </w:p>
    <w:p>
      <w:pPr>
        <w:pStyle w:val="0"/>
        <w:spacing w:before="200" w:lineRule="auto"/>
        <w:ind w:firstLine="540"/>
        <w:jc w:val="both"/>
      </w:pPr>
      <w:r>
        <w:rPr>
          <w:sz w:val="20"/>
        </w:rPr>
        <w:t xml:space="preserve">стандартизация и цифровизация рынка ипотеки;</w:t>
      </w:r>
    </w:p>
    <w:p>
      <w:pPr>
        <w:pStyle w:val="0"/>
        <w:spacing w:before="200" w:lineRule="auto"/>
        <w:ind w:firstLine="540"/>
        <w:jc w:val="both"/>
      </w:pPr>
      <w:r>
        <w:rPr>
          <w:sz w:val="20"/>
        </w:rPr>
        <w:t xml:space="preserve">снижение издержек граждан и банков на оформление и обслуживание ипотечного кредита за счет перевода взаимодействия заемщиков, банков и государственных органов в электронный формат;</w:t>
      </w:r>
    </w:p>
    <w:p>
      <w:pPr>
        <w:pStyle w:val="0"/>
        <w:spacing w:before="200" w:lineRule="auto"/>
        <w:ind w:firstLine="540"/>
        <w:jc w:val="both"/>
      </w:pPr>
      <w:r>
        <w:rPr>
          <w:sz w:val="20"/>
        </w:rPr>
        <w:t xml:space="preserve">развитие механизма ипотечного кредитования строительства индивидуальных жилых домов, в том числе льготных ипотечных программ, и строительства индивидуальных жилых домов гражданами самостоятельно;</w:t>
      </w:r>
    </w:p>
    <w:p>
      <w:pPr>
        <w:pStyle w:val="0"/>
        <w:spacing w:before="200" w:lineRule="auto"/>
        <w:ind w:firstLine="540"/>
        <w:jc w:val="both"/>
      </w:pPr>
      <w:r>
        <w:rPr>
          <w:sz w:val="20"/>
        </w:rPr>
        <w:t xml:space="preserve">расширение возможности использования цифровых активов в строительстве (цифровые деньги, цифровая закладная);</w:t>
      </w:r>
    </w:p>
    <w:p>
      <w:pPr>
        <w:pStyle w:val="0"/>
        <w:spacing w:before="200" w:lineRule="auto"/>
        <w:ind w:firstLine="540"/>
        <w:jc w:val="both"/>
      </w:pPr>
      <w:r>
        <w:rPr>
          <w:sz w:val="20"/>
        </w:rPr>
        <w:t xml:space="preserve">реализация программ льготной ипотеки для отдельных категорий граждан для обеспечения устойчивого снижения ставок по ипотеке и стабильного спроса на новостройки. Для поддержки отдельных категорий граждан, в том числе семей с детьми, в случае реализации негативного макроэкономического сценария, снижения спроса на новое жилье потребуется оперативное изменение существующих параметров реализации ипотечных программ с государственной поддержкой и продление срока действия отдельных программ до 2030 года;</w:t>
      </w:r>
    </w:p>
    <w:p>
      <w:pPr>
        <w:pStyle w:val="0"/>
        <w:spacing w:before="200" w:lineRule="auto"/>
        <w:ind w:firstLine="540"/>
        <w:jc w:val="both"/>
      </w:pPr>
      <w:r>
        <w:rPr>
          <w:sz w:val="20"/>
        </w:rPr>
        <w:t xml:space="preserve">унификация условий и механизмов реализации всех ипотечных программ, реализуемых с финансовой поддержкой из федерального бюджета и бюджетов субъектов Российской Федерации;</w:t>
      </w:r>
    </w:p>
    <w:p>
      <w:pPr>
        <w:pStyle w:val="0"/>
        <w:spacing w:before="200" w:lineRule="auto"/>
        <w:ind w:firstLine="540"/>
        <w:jc w:val="both"/>
      </w:pPr>
      <w:r>
        <w:rPr>
          <w:sz w:val="20"/>
        </w:rPr>
        <w:t xml:space="preserve">дифференцированное развитие ипотеки в регионах с использованием механизмов льготной ипотеки с государственной поддержкой;</w:t>
      </w:r>
    </w:p>
    <w:p>
      <w:pPr>
        <w:pStyle w:val="0"/>
        <w:spacing w:before="200" w:lineRule="auto"/>
        <w:ind w:firstLine="540"/>
        <w:jc w:val="both"/>
      </w:pPr>
      <w:r>
        <w:rPr>
          <w:sz w:val="20"/>
        </w:rPr>
        <w:t xml:space="preserve">развитие дополнительных финансовых механизмов приобретения жилья (накопительные жилищные счета, за счет которых заемщики смогут накопить первоначальный взнос и снизить ставку по ипотеке) и лучших региональных практик (жилье в рассрочку для отдельных категорий и др.).</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приобретение жилья с ипотекой доступно для 60 процентов российских семей, отношение ипотечного портфеля к годовому объему валового внутреннего продукта выросло в 1,5 раза по отношению к 2020 году, до 15 процентов и более;</w:t>
      </w:r>
    </w:p>
    <w:p>
      <w:pPr>
        <w:pStyle w:val="0"/>
        <w:spacing w:before="200" w:lineRule="auto"/>
        <w:ind w:firstLine="540"/>
        <w:jc w:val="both"/>
      </w:pPr>
      <w:r>
        <w:rPr>
          <w:sz w:val="20"/>
        </w:rPr>
        <w:t xml:space="preserve">обеспечена выдача не менее 500 тыс. ипотечных кредитов на приобретение (создание) объектов индивидуального жилищного строительства к 2030 году;</w:t>
      </w:r>
    </w:p>
    <w:p>
      <w:pPr>
        <w:pStyle w:val="0"/>
        <w:spacing w:before="200" w:lineRule="auto"/>
        <w:ind w:firstLine="540"/>
        <w:jc w:val="both"/>
      </w:pPr>
      <w:r>
        <w:rPr>
          <w:sz w:val="20"/>
        </w:rPr>
        <w:t xml:space="preserve">обеспечен дифференцированный подход к реализации механизмов льготной ипотеки с государственной поддержкой с учетом деления регионов на кластеры.</w:t>
      </w:r>
    </w:p>
    <w:p>
      <w:pPr>
        <w:pStyle w:val="0"/>
        <w:jc w:val="both"/>
      </w:pPr>
      <w:r>
        <w:rPr>
          <w:sz w:val="20"/>
        </w:rPr>
      </w:r>
    </w:p>
    <w:p>
      <w:pPr>
        <w:pStyle w:val="2"/>
        <w:outlineLvl w:val="2"/>
        <w:jc w:val="center"/>
      </w:pPr>
      <w:r>
        <w:rPr>
          <w:sz w:val="20"/>
        </w:rPr>
        <w:t xml:space="preserve">Развитие индивидуального жилищного строительства</w:t>
      </w:r>
    </w:p>
    <w:p>
      <w:pPr>
        <w:pStyle w:val="0"/>
        <w:jc w:val="both"/>
      </w:pPr>
      <w:r>
        <w:rPr>
          <w:sz w:val="20"/>
        </w:rPr>
      </w:r>
    </w:p>
    <w:p>
      <w:pPr>
        <w:pStyle w:val="0"/>
        <w:ind w:firstLine="540"/>
        <w:jc w:val="both"/>
      </w:pPr>
      <w:r>
        <w:rPr>
          <w:sz w:val="20"/>
        </w:rPr>
        <w:t xml:space="preserve">Согласно исследованию Всероссийского центра изучения общественного мнения и акционерного общества "ДОМ.РФ", около 56 процентов живущих в квартирах граждан Российской Федерации (19,7 млн. семей) хотят переехать в индивидуальные дома.</w:t>
      </w:r>
    </w:p>
    <w:p>
      <w:pPr>
        <w:pStyle w:val="0"/>
        <w:spacing w:before="200" w:lineRule="auto"/>
        <w:ind w:firstLine="540"/>
        <w:jc w:val="both"/>
      </w:pPr>
      <w:r>
        <w:rPr>
          <w:sz w:val="20"/>
        </w:rPr>
        <w:t xml:space="preserve">Основными барьерами, сдерживающими развитие индивидуального жилищного строительства, являются:</w:t>
      </w:r>
    </w:p>
    <w:p>
      <w:pPr>
        <w:pStyle w:val="0"/>
        <w:spacing w:before="200" w:lineRule="auto"/>
        <w:ind w:firstLine="540"/>
        <w:jc w:val="both"/>
      </w:pPr>
      <w:r>
        <w:rPr>
          <w:sz w:val="20"/>
        </w:rPr>
        <w:t xml:space="preserve">низкая ликвидность построенных населением индивидуальных жилых домов;</w:t>
      </w:r>
    </w:p>
    <w:p>
      <w:pPr>
        <w:pStyle w:val="0"/>
        <w:spacing w:before="200" w:lineRule="auto"/>
        <w:ind w:firstLine="540"/>
        <w:jc w:val="both"/>
      </w:pPr>
      <w:r>
        <w:rPr>
          <w:sz w:val="20"/>
        </w:rPr>
        <w:t xml:space="preserve">отсутствие профессионального и квалифицированного рынка строительных услуг;</w:t>
      </w:r>
    </w:p>
    <w:p>
      <w:pPr>
        <w:pStyle w:val="0"/>
        <w:spacing w:before="200" w:lineRule="auto"/>
        <w:ind w:firstLine="540"/>
        <w:jc w:val="both"/>
      </w:pPr>
      <w:r>
        <w:rPr>
          <w:sz w:val="20"/>
        </w:rPr>
        <w:t xml:space="preserve">низкий уровень развития ипотечного кредитования на цели строительства объектов индивидуального жилищного строительства.</w:t>
      </w:r>
    </w:p>
    <w:p>
      <w:pPr>
        <w:pStyle w:val="0"/>
        <w:spacing w:before="200" w:lineRule="auto"/>
        <w:ind w:firstLine="540"/>
        <w:jc w:val="both"/>
      </w:pPr>
      <w:r>
        <w:rPr>
          <w:sz w:val="20"/>
        </w:rPr>
        <w:t xml:space="preserve">Для обеспечения развития индустриального строительства индивидуальных жилых домов на территориях комплексного развития необходима подготовка под строительство и обеспечение инфраструктурой более 72 тыс. гектаров земли в населенных пунктах.</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отсутствие эффективных ипотечных продуктов и доступных механизмов финансирования индустриального строительства индивидуальных жилых домов;</w:t>
      </w:r>
    </w:p>
    <w:p>
      <w:pPr>
        <w:pStyle w:val="0"/>
        <w:spacing w:before="200" w:lineRule="auto"/>
        <w:ind w:firstLine="540"/>
        <w:jc w:val="both"/>
      </w:pPr>
      <w:r>
        <w:rPr>
          <w:sz w:val="20"/>
        </w:rPr>
        <w:t xml:space="preserve">отсутствие земельных участков, подготовленных под строительство, в объеме, необходимом для достижения целевых показателей по вводу жилья;</w:t>
      </w:r>
    </w:p>
    <w:p>
      <w:pPr>
        <w:pStyle w:val="0"/>
        <w:spacing w:before="200" w:lineRule="auto"/>
        <w:ind w:firstLine="540"/>
        <w:jc w:val="both"/>
      </w:pPr>
      <w:r>
        <w:rPr>
          <w:sz w:val="20"/>
        </w:rPr>
        <w:t xml:space="preserve">отсутствие возможности либо высокая стоимость подключения (технологического присоединения) объектов индивидуального жилищного строительства к сетям инженерно-технического обеспечения;</w:t>
      </w:r>
    </w:p>
    <w:p>
      <w:pPr>
        <w:pStyle w:val="0"/>
        <w:spacing w:before="200" w:lineRule="auto"/>
        <w:ind w:firstLine="540"/>
        <w:jc w:val="both"/>
      </w:pPr>
      <w:r>
        <w:rPr>
          <w:sz w:val="20"/>
        </w:rPr>
        <w:t xml:space="preserve">отсутствие законодательного регулирования вопросов управления комплексами индивидуальных жилых домов.</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вовлечение в оборот земельных участков в целях индивидуального жилищного строительства;</w:t>
      </w:r>
    </w:p>
    <w:p>
      <w:pPr>
        <w:pStyle w:val="0"/>
        <w:spacing w:before="200" w:lineRule="auto"/>
        <w:ind w:firstLine="540"/>
        <w:jc w:val="both"/>
      </w:pPr>
      <w:r>
        <w:rPr>
          <w:sz w:val="20"/>
        </w:rPr>
        <w:t xml:space="preserve">обеспечение доступности строительства или приобретения индивидуального жилого дома, в том числе за счет средств ипотечного кредита;</w:t>
      </w:r>
    </w:p>
    <w:p>
      <w:pPr>
        <w:pStyle w:val="0"/>
        <w:spacing w:before="200" w:lineRule="auto"/>
        <w:ind w:firstLine="540"/>
        <w:jc w:val="both"/>
      </w:pPr>
      <w:r>
        <w:rPr>
          <w:sz w:val="20"/>
        </w:rPr>
        <w:t xml:space="preserve">обеспечение возможности подключения (технологического присоединения) объектов индивидуального жилищного строительства к сетям инженерно-технического обеспечения по доступной цене;</w:t>
      </w:r>
    </w:p>
    <w:p>
      <w:pPr>
        <w:pStyle w:val="0"/>
        <w:spacing w:before="200" w:lineRule="auto"/>
        <w:ind w:firstLine="540"/>
        <w:jc w:val="both"/>
      </w:pPr>
      <w:r>
        <w:rPr>
          <w:sz w:val="20"/>
        </w:rPr>
        <w:t xml:space="preserve">формирование механизма управления комплексами индивидуальных жилых домов.</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совершенствование правового регулирования в сфере индивидуального жилищного строительства;</w:t>
      </w:r>
    </w:p>
    <w:p>
      <w:pPr>
        <w:pStyle w:val="0"/>
        <w:spacing w:before="200" w:lineRule="auto"/>
        <w:ind w:firstLine="540"/>
        <w:jc w:val="both"/>
      </w:pPr>
      <w:r>
        <w:rPr>
          <w:sz w:val="20"/>
        </w:rPr>
        <w:t xml:space="preserve">ускорение процедур подготовки земельных участков под строительство индивидуальных жилых домов;</w:t>
      </w:r>
    </w:p>
    <w:p>
      <w:pPr>
        <w:pStyle w:val="0"/>
        <w:spacing w:before="200" w:lineRule="auto"/>
        <w:ind w:firstLine="540"/>
        <w:jc w:val="both"/>
      </w:pPr>
      <w:r>
        <w:rPr>
          <w:sz w:val="20"/>
        </w:rPr>
        <w:t xml:space="preserve">расширение программы ипотечного кредитования строительства объектов индивидуального жилищного строительства, которое осуществляется гражданами самостоятельно;</w:t>
      </w:r>
    </w:p>
    <w:p>
      <w:pPr>
        <w:pStyle w:val="0"/>
        <w:spacing w:before="200" w:lineRule="auto"/>
        <w:ind w:firstLine="540"/>
        <w:jc w:val="both"/>
      </w:pPr>
      <w:r>
        <w:rPr>
          <w:sz w:val="20"/>
        </w:rPr>
        <w:t xml:space="preserve">распространение механизма использования счетов эскроу на деятельность по строительству объектов индивидуального жилищного строительства;</w:t>
      </w:r>
    </w:p>
    <w:p>
      <w:pPr>
        <w:pStyle w:val="0"/>
        <w:spacing w:before="200" w:lineRule="auto"/>
        <w:ind w:firstLine="540"/>
        <w:jc w:val="both"/>
      </w:pPr>
      <w:r>
        <w:rPr>
          <w:sz w:val="20"/>
        </w:rPr>
        <w:t xml:space="preserve">предоставление земельных участков для целей индивидуального жилищного строительства с обязательством государственной регистрации прав на построенные на них жилые дома в установленный срок;</w:t>
      </w:r>
    </w:p>
    <w:p>
      <w:pPr>
        <w:pStyle w:val="0"/>
        <w:spacing w:before="200" w:lineRule="auto"/>
        <w:ind w:firstLine="540"/>
        <w:jc w:val="both"/>
      </w:pPr>
      <w:r>
        <w:rPr>
          <w:sz w:val="20"/>
        </w:rPr>
        <w:t xml:space="preserve">формирование банка земельных участков с доступной инженерной и транспортной инфраструктурой;</w:t>
      </w:r>
    </w:p>
    <w:p>
      <w:pPr>
        <w:pStyle w:val="0"/>
        <w:spacing w:before="200" w:lineRule="auto"/>
        <w:ind w:firstLine="540"/>
        <w:jc w:val="both"/>
      </w:pPr>
      <w:r>
        <w:rPr>
          <w:sz w:val="20"/>
        </w:rPr>
        <w:t xml:space="preserve">оптимизация процедур по обеспечению объектов индивидуального жилищного строительства необходимой инженерной инфраструктурой;</w:t>
      </w:r>
    </w:p>
    <w:p>
      <w:pPr>
        <w:pStyle w:val="0"/>
        <w:spacing w:before="200" w:lineRule="auto"/>
        <w:ind w:firstLine="540"/>
        <w:jc w:val="both"/>
      </w:pPr>
      <w:r>
        <w:rPr>
          <w:sz w:val="20"/>
        </w:rPr>
        <w:t xml:space="preserve">внедрение социально ориентированной и экономически эффективной системы газификации, газоснабжения населения в субъектах Российской Федерации;</w:t>
      </w:r>
    </w:p>
    <w:p>
      <w:pPr>
        <w:pStyle w:val="0"/>
        <w:spacing w:before="200" w:lineRule="auto"/>
        <w:ind w:firstLine="540"/>
        <w:jc w:val="both"/>
      </w:pPr>
      <w:r>
        <w:rPr>
          <w:sz w:val="20"/>
        </w:rPr>
        <w:t xml:space="preserve">внедрение реестра типовых проектов для строительства индивидуальных жилых домов;</w:t>
      </w:r>
    </w:p>
    <w:p>
      <w:pPr>
        <w:pStyle w:val="0"/>
        <w:spacing w:before="200" w:lineRule="auto"/>
        <w:ind w:firstLine="540"/>
        <w:jc w:val="both"/>
      </w:pPr>
      <w:r>
        <w:rPr>
          <w:sz w:val="20"/>
        </w:rPr>
        <w:t xml:space="preserve">создание условий для запуска массового строительства индивидуальных жилых домов индустриальным способом;</w:t>
      </w:r>
    </w:p>
    <w:p>
      <w:pPr>
        <w:pStyle w:val="0"/>
        <w:spacing w:before="200" w:lineRule="auto"/>
        <w:ind w:firstLine="540"/>
        <w:jc w:val="both"/>
      </w:pPr>
      <w:r>
        <w:rPr>
          <w:sz w:val="20"/>
        </w:rPr>
        <w:t xml:space="preserve">развитие модульного строительства, включая деревянное домостроение, стимулирование производства и применения домокомплектов;</w:t>
      </w:r>
    </w:p>
    <w:p>
      <w:pPr>
        <w:pStyle w:val="0"/>
        <w:spacing w:before="200" w:lineRule="auto"/>
        <w:ind w:firstLine="540"/>
        <w:jc w:val="both"/>
      </w:pPr>
      <w:r>
        <w:rPr>
          <w:sz w:val="20"/>
        </w:rPr>
        <w:t xml:space="preserve">формирование механизма управления комплексами индивидуальных жилых домов.</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обеспечено развитие индивидуального жилищного строительства, достигнут объем ввода индивидуального жилищного строительства в размере 50 млн. кв. метров ежегодно;</w:t>
      </w:r>
    </w:p>
    <w:p>
      <w:pPr>
        <w:pStyle w:val="0"/>
        <w:spacing w:before="200" w:lineRule="auto"/>
        <w:ind w:firstLine="540"/>
        <w:jc w:val="both"/>
      </w:pPr>
      <w:r>
        <w:rPr>
          <w:sz w:val="20"/>
        </w:rPr>
        <w:t xml:space="preserve">обеспечена защита интересов всех участников рынка индивидуального жилищного строительства;</w:t>
      </w:r>
    </w:p>
    <w:p>
      <w:pPr>
        <w:pStyle w:val="0"/>
        <w:spacing w:before="200" w:lineRule="auto"/>
        <w:ind w:firstLine="540"/>
        <w:jc w:val="both"/>
      </w:pPr>
      <w:r>
        <w:rPr>
          <w:sz w:val="20"/>
        </w:rPr>
        <w:t xml:space="preserve">запущено массовое строительство индивидуальных жилых домов индустриальным способом.</w:t>
      </w:r>
    </w:p>
    <w:p>
      <w:pPr>
        <w:pStyle w:val="0"/>
        <w:jc w:val="both"/>
      </w:pPr>
      <w:r>
        <w:rPr>
          <w:sz w:val="20"/>
        </w:rPr>
      </w:r>
    </w:p>
    <w:p>
      <w:pPr>
        <w:pStyle w:val="2"/>
        <w:outlineLvl w:val="2"/>
        <w:jc w:val="center"/>
      </w:pPr>
      <w:r>
        <w:rPr>
          <w:sz w:val="20"/>
        </w:rPr>
        <w:t xml:space="preserve">Восстановление прав граждан - участников</w:t>
      </w:r>
    </w:p>
    <w:p>
      <w:pPr>
        <w:pStyle w:val="2"/>
        <w:jc w:val="center"/>
      </w:pPr>
      <w:r>
        <w:rPr>
          <w:sz w:val="20"/>
        </w:rPr>
        <w:t xml:space="preserve">долевого строительства</w:t>
      </w:r>
    </w:p>
    <w:p>
      <w:pPr>
        <w:pStyle w:val="0"/>
        <w:jc w:val="both"/>
      </w:pPr>
      <w:r>
        <w:rPr>
          <w:sz w:val="20"/>
        </w:rPr>
      </w:r>
    </w:p>
    <w:p>
      <w:pPr>
        <w:pStyle w:val="0"/>
        <w:ind w:firstLine="540"/>
        <w:jc w:val="both"/>
      </w:pPr>
      <w:r>
        <w:rPr>
          <w:sz w:val="20"/>
        </w:rPr>
        <w:t xml:space="preserve">На конец 2021 года в единый реестр проблемных объектов включено порядка 2500 многоквартирных жилых домов площадью более 15 млн. кв. метров. За период 2018 - 2021 годов публично-правовой компанией "Фонд защиты прав граждан - участников долевого строительства" приняты обязательства по восстановлению прав более 102 тыс. граждан, вложивших денежные средства в строительство 1253 объектов.</w:t>
      </w:r>
    </w:p>
    <w:p>
      <w:pPr>
        <w:pStyle w:val="0"/>
        <w:spacing w:before="200" w:lineRule="auto"/>
        <w:ind w:firstLine="540"/>
        <w:jc w:val="both"/>
      </w:pPr>
      <w:r>
        <w:rPr>
          <w:sz w:val="20"/>
        </w:rPr>
        <w:t xml:space="preserve">На основе единой информационной системы жилищного строительства сформирована уникальная база данных о всех строящихся домах с привлечением средств граждан - участников долевого строительства, обеспечена прозрачность строительной отрасли, созданы сервисы для профессиональных участников рынка.</w:t>
      </w:r>
    </w:p>
    <w:p>
      <w:pPr>
        <w:pStyle w:val="0"/>
        <w:spacing w:before="200" w:lineRule="auto"/>
        <w:ind w:firstLine="540"/>
        <w:jc w:val="both"/>
      </w:pPr>
      <w:r>
        <w:rPr>
          <w:sz w:val="20"/>
        </w:rPr>
        <w:t xml:space="preserve">Вызовом является то, что по состоянию на конец 2021 года количество пострадавших граждан - участников долевого строительства составляет около 129 тыс. человек.</w:t>
      </w:r>
    </w:p>
    <w:p>
      <w:pPr>
        <w:pStyle w:val="0"/>
        <w:spacing w:before="200" w:lineRule="auto"/>
        <w:ind w:firstLine="540"/>
        <w:jc w:val="both"/>
      </w:pPr>
      <w:r>
        <w:rPr>
          <w:sz w:val="20"/>
        </w:rPr>
        <w:t xml:space="preserve">Задачей является восстановление прав всех обманутых граждан - участников долевого строительства.</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завершение строительства публично-правовой компанией "Фонд развития территорий" и субъектами Российской Федерации проблемных объектов, осуществление выплаты возмещения гражданам;</w:t>
      </w:r>
    </w:p>
    <w:p>
      <w:pPr>
        <w:pStyle w:val="0"/>
        <w:spacing w:before="200" w:lineRule="auto"/>
        <w:ind w:firstLine="540"/>
        <w:jc w:val="both"/>
      </w:pPr>
      <w:r>
        <w:rPr>
          <w:sz w:val="20"/>
        </w:rPr>
        <w:t xml:space="preserve">ликвидация объектов незавершенного строительства;</w:t>
      </w:r>
    </w:p>
    <w:p>
      <w:pPr>
        <w:pStyle w:val="0"/>
        <w:spacing w:before="200" w:lineRule="auto"/>
        <w:ind w:firstLine="540"/>
        <w:jc w:val="both"/>
      </w:pPr>
      <w:r>
        <w:rPr>
          <w:sz w:val="20"/>
        </w:rPr>
        <w:t xml:space="preserve">осуществление мониторинга реализации мероприятий по восстановлению прав обманутых граждан - участников долевого строительства в субъектах Российской Федерации;</w:t>
      </w:r>
    </w:p>
    <w:p>
      <w:pPr>
        <w:pStyle w:val="0"/>
        <w:spacing w:before="200" w:lineRule="auto"/>
        <w:ind w:firstLine="540"/>
        <w:jc w:val="both"/>
      </w:pPr>
      <w:r>
        <w:rPr>
          <w:sz w:val="20"/>
        </w:rPr>
        <w:t xml:space="preserve">использование механизмов комплексного развития территорий для строительства жилищного фонда социального использования и арендного жилья на земельных участках, предоставленных публично-правовой компании "Фонд развития территорий".</w:t>
      </w:r>
    </w:p>
    <w:p>
      <w:pPr>
        <w:pStyle w:val="0"/>
        <w:spacing w:before="200" w:lineRule="auto"/>
        <w:ind w:firstLine="540"/>
        <w:jc w:val="both"/>
      </w:pPr>
      <w:r>
        <w:rPr>
          <w:sz w:val="20"/>
        </w:rPr>
        <w:t xml:space="preserve">Результатом осуществления указанных мероприятий является принятие решений о восстановлении прав 100 процентов обманутых граждан - участников долевого строительства.</w:t>
      </w:r>
    </w:p>
    <w:p>
      <w:pPr>
        <w:pStyle w:val="0"/>
        <w:jc w:val="both"/>
      </w:pPr>
      <w:r>
        <w:rPr>
          <w:sz w:val="20"/>
        </w:rPr>
      </w:r>
    </w:p>
    <w:p>
      <w:pPr>
        <w:pStyle w:val="2"/>
        <w:outlineLvl w:val="2"/>
        <w:jc w:val="center"/>
      </w:pPr>
      <w:r>
        <w:rPr>
          <w:sz w:val="20"/>
        </w:rPr>
        <w:t xml:space="preserve">Обеспечение устойчивого сокращения непригодного</w:t>
      </w:r>
    </w:p>
    <w:p>
      <w:pPr>
        <w:pStyle w:val="2"/>
        <w:jc w:val="center"/>
      </w:pPr>
      <w:r>
        <w:rPr>
          <w:sz w:val="20"/>
        </w:rPr>
        <w:t xml:space="preserve">для проживания жилищного фонда</w:t>
      </w:r>
    </w:p>
    <w:p>
      <w:pPr>
        <w:pStyle w:val="0"/>
        <w:jc w:val="both"/>
      </w:pPr>
      <w:r>
        <w:rPr>
          <w:sz w:val="20"/>
        </w:rPr>
      </w:r>
    </w:p>
    <w:p>
      <w:pPr>
        <w:pStyle w:val="0"/>
        <w:ind w:firstLine="540"/>
        <w:jc w:val="both"/>
      </w:pPr>
      <w:r>
        <w:rPr>
          <w:sz w:val="20"/>
        </w:rPr>
        <w:t xml:space="preserve">В настоящее время расселение аварийного жилья осуществляется в соответствии с федеральным </w:t>
      </w:r>
      <w:r>
        <w:rPr>
          <w:sz w:val="20"/>
        </w:rPr>
        <w:t xml:space="preserve">проектом</w:t>
      </w:r>
      <w:r>
        <w:rPr>
          <w:sz w:val="20"/>
        </w:rPr>
        <w:t xml:space="preserve"> "Обеспечение устойчивого сокращения непригодного для проживания жилищного фонда". За период 2019 - 2024 годов необходимо переселить 510 тыс. человек из 9 млн. кв. метров аварийного жилья.</w:t>
      </w:r>
    </w:p>
    <w:p>
      <w:pPr>
        <w:pStyle w:val="0"/>
        <w:spacing w:before="200" w:lineRule="auto"/>
        <w:ind w:firstLine="540"/>
        <w:jc w:val="both"/>
      </w:pPr>
      <w:r>
        <w:rPr>
          <w:sz w:val="20"/>
        </w:rPr>
        <w:t xml:space="preserve">Всего за период с 2008 по 2021 годы по программам переселения расселено более 21 млн. кв. метров аварийного жилья, переселено более 1,3 млн. человек. Максимально достигнутые объемы расселения аварийного жилья пришлись на 2014 - 2015 годы и составили около 3 млн. кв. метров в год. Максимальные объемы расселяемого аварийного жилья в указанный период обусловлены максимальными объемами финансирования программ переселения.</w:t>
      </w:r>
    </w:p>
    <w:p>
      <w:pPr>
        <w:pStyle w:val="0"/>
        <w:spacing w:before="200" w:lineRule="auto"/>
        <w:ind w:firstLine="540"/>
        <w:jc w:val="both"/>
      </w:pPr>
      <w:r>
        <w:rPr>
          <w:sz w:val="20"/>
        </w:rPr>
        <w:t xml:space="preserve">По данным Федеральной службы государственной статистики, за 2021 год из 2,5 млрд. кв. метров жилого фонда многоквартирных домов около 100 млн. кв. метров жилья имеет износ более 65 процентов. Основными факторами старения жилищного фонда являются естественный износ конструктивных элементов многоквартирных домов, несвоевременное проведение их капитального ремонта.</w:t>
      </w:r>
    </w:p>
    <w:p>
      <w:pPr>
        <w:pStyle w:val="0"/>
        <w:spacing w:before="200" w:lineRule="auto"/>
        <w:ind w:firstLine="540"/>
        <w:jc w:val="both"/>
      </w:pPr>
      <w:r>
        <w:rPr>
          <w:sz w:val="20"/>
        </w:rPr>
        <w:t xml:space="preserve">За 2008 - 2021 годы признано аварийным около 31 млн. кв. метров жилья. Жилищный фонд, признанный аварийным за период с 1 января 2017 г. до 1 января 2022 г., составляет 14,4 млн. кв. метров, в нем проживают около 800 тыс. человек. Всего в Российской Федерации признано аварийным и не вошло в действующую программу около 15,8 млн. кв. метров жилья.</w:t>
      </w:r>
    </w:p>
    <w:p>
      <w:pPr>
        <w:pStyle w:val="0"/>
        <w:spacing w:before="200" w:lineRule="auto"/>
        <w:ind w:firstLine="540"/>
        <w:jc w:val="both"/>
      </w:pPr>
      <w:r>
        <w:rPr>
          <w:sz w:val="20"/>
        </w:rPr>
        <w:t xml:space="preserve">Учитывая, что в среднем ежегодно признается аварийным около 2 млн. кв. метров жилья, за период 2022 - 2029 годов будут признаны аварийными 16 млн. кв. метров жилья.</w:t>
      </w:r>
    </w:p>
    <w:p>
      <w:pPr>
        <w:pStyle w:val="0"/>
        <w:spacing w:before="200" w:lineRule="auto"/>
        <w:ind w:firstLine="540"/>
        <w:jc w:val="both"/>
      </w:pPr>
      <w:r>
        <w:rPr>
          <w:sz w:val="20"/>
        </w:rPr>
        <w:t xml:space="preserve">Региональные программы расселения аварийного жилищного фонда при их надлежащем финансировании позволят предотвратить старение жилищного фонда в России, обеспечат расселение аварийного жилищного фонда и сокращение накопленного аварийного жилищного фонда.</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темп прироста аварийного жилищного фонда превышает темп расселения, предусмотренный действующей программой;</w:t>
      </w:r>
    </w:p>
    <w:p>
      <w:pPr>
        <w:pStyle w:val="0"/>
        <w:spacing w:before="200" w:lineRule="auto"/>
        <w:ind w:firstLine="540"/>
        <w:jc w:val="both"/>
      </w:pPr>
      <w:r>
        <w:rPr>
          <w:sz w:val="20"/>
        </w:rPr>
        <w:t xml:space="preserve">высокая доля расходов бюджетных средств, направляемых на расселение аварийного жилищного фонда;</w:t>
      </w:r>
    </w:p>
    <w:p>
      <w:pPr>
        <w:pStyle w:val="0"/>
        <w:spacing w:before="200" w:lineRule="auto"/>
        <w:ind w:firstLine="540"/>
        <w:jc w:val="both"/>
      </w:pPr>
      <w:r>
        <w:rPr>
          <w:sz w:val="20"/>
        </w:rPr>
        <w:t xml:space="preserve">риски разрушения домов, признанных аварийными, поскольку исключены из программы капитального ремонта, и возникновение угроз жизни и здоровью граждан;</w:t>
      </w:r>
    </w:p>
    <w:p>
      <w:pPr>
        <w:pStyle w:val="0"/>
        <w:spacing w:before="200" w:lineRule="auto"/>
        <w:ind w:firstLine="540"/>
        <w:jc w:val="both"/>
      </w:pPr>
      <w:r>
        <w:rPr>
          <w:sz w:val="20"/>
        </w:rPr>
        <w:t xml:space="preserve">отсутствие особенностей проведения работ по капитальному ремонту многоквартирных домов с высокой степенью износа в целях сдерживания их перехода в аварийное состояние;</w:t>
      </w:r>
    </w:p>
    <w:p>
      <w:pPr>
        <w:pStyle w:val="0"/>
        <w:spacing w:before="200" w:lineRule="auto"/>
        <w:ind w:firstLine="540"/>
        <w:jc w:val="both"/>
      </w:pPr>
      <w:r>
        <w:rPr>
          <w:sz w:val="20"/>
        </w:rPr>
        <w:t xml:space="preserve">негативное влияние непригодной для проживания застройки на качество городской среды, в том числе в связи с неосуществлением сноса аварийного жилищного фонда и утилизации отходов строительства и сноса, образуемых в результате сноса.</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выработка и внедрение комплексного подхода к обновлению жилищного фонда, предполагающего системные меры по развитию территорий населенных пунктов за счет новых источников финансирования;</w:t>
      </w:r>
    </w:p>
    <w:p>
      <w:pPr>
        <w:pStyle w:val="0"/>
        <w:spacing w:before="200" w:lineRule="auto"/>
        <w:ind w:firstLine="540"/>
        <w:jc w:val="both"/>
      </w:pPr>
      <w:r>
        <w:rPr>
          <w:sz w:val="20"/>
        </w:rPr>
        <w:t xml:space="preserve">создание постоянно действующего механизма расселения аварийного жилищного фонда со снижением доли бюджетных расходов, направляемых на его расселение, устанавливающего объем федеральной поддержки с учетом бюджетной обеспеченности субъектов Российской Федерации и средний уровень софинансирования из средств федерального бюджета не выше 60 процентов;</w:t>
      </w:r>
    </w:p>
    <w:p>
      <w:pPr>
        <w:pStyle w:val="0"/>
        <w:spacing w:before="200" w:lineRule="auto"/>
        <w:ind w:firstLine="540"/>
        <w:jc w:val="both"/>
      </w:pPr>
      <w:r>
        <w:rPr>
          <w:sz w:val="20"/>
        </w:rPr>
        <w:t xml:space="preserve">наращивание темпов расселения аварийного жилищного фонда для обеспечения устойчивого сокращения аварийного жилищного фонда;</w:t>
      </w:r>
    </w:p>
    <w:p>
      <w:pPr>
        <w:pStyle w:val="0"/>
        <w:spacing w:before="200" w:lineRule="auto"/>
        <w:ind w:firstLine="540"/>
        <w:jc w:val="both"/>
      </w:pPr>
      <w:r>
        <w:rPr>
          <w:sz w:val="20"/>
        </w:rPr>
        <w:t xml:space="preserve">расширение использования механизма комплексного развития территорий жилой застройки при расселении ветхого и аварийного жилищного фонда;</w:t>
      </w:r>
    </w:p>
    <w:p>
      <w:pPr>
        <w:pStyle w:val="0"/>
        <w:spacing w:before="200" w:lineRule="auto"/>
        <w:ind w:firstLine="540"/>
        <w:jc w:val="both"/>
      </w:pPr>
      <w:r>
        <w:rPr>
          <w:sz w:val="20"/>
        </w:rPr>
        <w:t xml:space="preserve">развитие института арендного жилья при расселении аварийного жилищного фонда;</w:t>
      </w:r>
    </w:p>
    <w:p>
      <w:pPr>
        <w:pStyle w:val="0"/>
        <w:spacing w:before="200" w:lineRule="auto"/>
        <w:ind w:firstLine="540"/>
        <w:jc w:val="both"/>
      </w:pPr>
      <w:r>
        <w:rPr>
          <w:sz w:val="20"/>
        </w:rPr>
        <w:t xml:space="preserve">формирование единых федеральных подходов по предоставлению адресной поддержки граждан с учетом принципа нуждаемости;</w:t>
      </w:r>
    </w:p>
    <w:p>
      <w:pPr>
        <w:pStyle w:val="0"/>
        <w:spacing w:before="200" w:lineRule="auto"/>
        <w:ind w:firstLine="540"/>
        <w:jc w:val="both"/>
      </w:pPr>
      <w:r>
        <w:rPr>
          <w:sz w:val="20"/>
        </w:rPr>
        <w:t xml:space="preserve">повышение ответственного отношения собственников к объектам капитального строительства, обеспечивающего их надлежащее состояние и ремонт;</w:t>
      </w:r>
    </w:p>
    <w:p>
      <w:pPr>
        <w:pStyle w:val="0"/>
        <w:spacing w:before="200" w:lineRule="auto"/>
        <w:ind w:firstLine="540"/>
        <w:jc w:val="both"/>
      </w:pPr>
      <w:r>
        <w:rPr>
          <w:sz w:val="20"/>
        </w:rPr>
        <w:t xml:space="preserve">определение единого порядка сноса аварийного жилищного фонда и утилизации отходов строительства и сноса.</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реализация региональных программ, предусматривающих механизмы поддержки проектов комплексного развития территорий, а также развитие института наемного жилья;</w:t>
      </w:r>
    </w:p>
    <w:p>
      <w:pPr>
        <w:pStyle w:val="0"/>
        <w:spacing w:before="200" w:lineRule="auto"/>
        <w:ind w:firstLine="540"/>
        <w:jc w:val="both"/>
      </w:pPr>
      <w:r>
        <w:rPr>
          <w:sz w:val="20"/>
        </w:rPr>
        <w:t xml:space="preserve">совершенствование правил предоставления жилых помещений и выплаты денежного возмещения при расселении аварийного жилищного фонда и обеспечение финансирования мероприятий переселения граждан из аварийного жилищного фонда с учетом необходимости "бесшовного" перехода к расселению граждан из аварийного жилищного фонда, признанного таковым после 1 января 2017 г., в субъектах Российской Федерации;</w:t>
      </w:r>
    </w:p>
    <w:p>
      <w:pPr>
        <w:pStyle w:val="0"/>
        <w:spacing w:before="200" w:lineRule="auto"/>
        <w:ind w:firstLine="540"/>
        <w:jc w:val="both"/>
      </w:pPr>
      <w:r>
        <w:rPr>
          <w:sz w:val="20"/>
        </w:rPr>
        <w:t xml:space="preserve">внесение изменений в законодательство Российской Федерации в части уточнения правил оценки рыночной стоимости помещений в многоквартирных домах, признанных аварийными, с учетом технического состояния таких домов;</w:t>
      </w:r>
    </w:p>
    <w:p>
      <w:pPr>
        <w:pStyle w:val="0"/>
        <w:spacing w:before="200" w:lineRule="auto"/>
        <w:ind w:firstLine="540"/>
        <w:jc w:val="both"/>
      </w:pPr>
      <w:r>
        <w:rPr>
          <w:sz w:val="20"/>
        </w:rPr>
        <w:t xml:space="preserve">создание за счет программы переселения из аварийного жилищного фонда наемного жилищного фонда в целях предоставления жилых помещений в некоммерческий наем на льготных условиях с правом выкупа таких жилых помещений;</w:t>
      </w:r>
    </w:p>
    <w:p>
      <w:pPr>
        <w:pStyle w:val="0"/>
        <w:spacing w:before="200" w:lineRule="auto"/>
        <w:ind w:firstLine="540"/>
        <w:jc w:val="both"/>
      </w:pPr>
      <w:r>
        <w:rPr>
          <w:sz w:val="20"/>
        </w:rPr>
        <w:t xml:space="preserve">расширение механизмов использования средств Фонда национального благосостояния, в том числе на реализацию проектов по строительству арендного жилья;</w:t>
      </w:r>
    </w:p>
    <w:p>
      <w:pPr>
        <w:pStyle w:val="0"/>
        <w:spacing w:before="200" w:lineRule="auto"/>
        <w:ind w:firstLine="540"/>
        <w:jc w:val="both"/>
      </w:pPr>
      <w:r>
        <w:rPr>
          <w:sz w:val="20"/>
        </w:rPr>
        <w:t xml:space="preserve">предоставление жилых помещений взамен непригодных для проживания по договору мены с возможностью рассрочки по выплате гражданами разницы между стоимостью предоставляемого жилого помещения и выкупной стоимостью изымаемого непригодного для проживания жилья на срок до 15 лет;</w:t>
      </w:r>
    </w:p>
    <w:p>
      <w:pPr>
        <w:pStyle w:val="0"/>
        <w:spacing w:before="200" w:lineRule="auto"/>
        <w:ind w:firstLine="540"/>
        <w:jc w:val="both"/>
      </w:pPr>
      <w:r>
        <w:rPr>
          <w:sz w:val="20"/>
        </w:rPr>
        <w:t xml:space="preserve">принятие нормативных правовых актов о порядке предоставления адресной поддержки гражданам, переселяемым из аварийного жилищного фонда, с учетом принципа нуждаемости;</w:t>
      </w:r>
    </w:p>
    <w:p>
      <w:pPr>
        <w:pStyle w:val="0"/>
        <w:spacing w:before="200" w:lineRule="auto"/>
        <w:ind w:firstLine="540"/>
        <w:jc w:val="both"/>
      </w:pPr>
      <w:r>
        <w:rPr>
          <w:sz w:val="20"/>
        </w:rPr>
        <w:t xml:space="preserve">формирование эффективных механизмов переселения граждан из аварийного жилищного фонда в наемный жилищный фонд, включая систему региональных операторов для организации строительства и управления наемным жилищным фондом;</w:t>
      </w:r>
    </w:p>
    <w:p>
      <w:pPr>
        <w:pStyle w:val="0"/>
        <w:spacing w:before="200" w:lineRule="auto"/>
        <w:ind w:firstLine="540"/>
        <w:jc w:val="both"/>
      </w:pPr>
      <w:r>
        <w:rPr>
          <w:sz w:val="20"/>
        </w:rPr>
        <w:t xml:space="preserve">совершенствование законодательства Российской Федерации в части расширения границ местности с населенного пункта до муниципальных районов, округов при переселении граждан из аварийного жилищного фонда;</w:t>
      </w:r>
    </w:p>
    <w:p>
      <w:pPr>
        <w:pStyle w:val="0"/>
        <w:spacing w:before="200" w:lineRule="auto"/>
        <w:ind w:firstLine="540"/>
        <w:jc w:val="both"/>
      </w:pPr>
      <w:r>
        <w:rPr>
          <w:sz w:val="20"/>
        </w:rPr>
        <w:t xml:space="preserve">формирование механизмов контроля за соблюдением процедур оценки технического состояния жилищного фонда при признании его аварийным;</w:t>
      </w:r>
    </w:p>
    <w:p>
      <w:pPr>
        <w:pStyle w:val="0"/>
        <w:spacing w:before="200" w:lineRule="auto"/>
        <w:ind w:firstLine="540"/>
        <w:jc w:val="both"/>
      </w:pPr>
      <w:r>
        <w:rPr>
          <w:sz w:val="20"/>
        </w:rPr>
        <w:t xml:space="preserve">нормативное регулирование ответственности собственников объектов капитального строительства за их безопасную эксплуатацию.</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переход к системному обновлению населенных пунктов, решающему также задачи повышения качества городской среды, повышения эффективности использования существующей и создания новой инфраструктуры, создания новых рабочих мест, сокращения бюджетных расходов;</w:t>
      </w:r>
    </w:p>
    <w:p>
      <w:pPr>
        <w:pStyle w:val="0"/>
        <w:spacing w:before="200" w:lineRule="auto"/>
        <w:ind w:firstLine="540"/>
        <w:jc w:val="both"/>
      </w:pPr>
      <w:r>
        <w:rPr>
          <w:sz w:val="20"/>
        </w:rPr>
        <w:t xml:space="preserve">реализация региональных программ по переселению граждан из аварийного жилищного фонда в объеме, позволяющем обеспечить сокращение непригодного для проживания жилищного фонда;</w:t>
      </w:r>
    </w:p>
    <w:p>
      <w:pPr>
        <w:pStyle w:val="0"/>
        <w:spacing w:before="200" w:lineRule="auto"/>
        <w:ind w:firstLine="540"/>
        <w:jc w:val="both"/>
      </w:pPr>
      <w:r>
        <w:rPr>
          <w:sz w:val="20"/>
        </w:rPr>
        <w:t xml:space="preserve">создание постоянно действующего механизма финансирования расселения аварийного жилищного фонда за счет внебюджетных источников (средства инвесторов по проектам комплексного развития территорий, заемные средства, плата за наем и др.).</w:t>
      </w:r>
    </w:p>
    <w:p>
      <w:pPr>
        <w:pStyle w:val="0"/>
        <w:jc w:val="both"/>
      </w:pPr>
      <w:r>
        <w:rPr>
          <w:sz w:val="20"/>
        </w:rPr>
      </w:r>
    </w:p>
    <w:p>
      <w:pPr>
        <w:pStyle w:val="2"/>
        <w:outlineLvl w:val="2"/>
        <w:jc w:val="center"/>
      </w:pPr>
      <w:r>
        <w:rPr>
          <w:sz w:val="20"/>
        </w:rPr>
        <w:t xml:space="preserve">Улучшение жилищных условий отдельных категорий граждан</w:t>
      </w:r>
    </w:p>
    <w:p>
      <w:pPr>
        <w:pStyle w:val="0"/>
        <w:jc w:val="both"/>
      </w:pPr>
      <w:r>
        <w:rPr>
          <w:sz w:val="20"/>
        </w:rPr>
      </w:r>
    </w:p>
    <w:p>
      <w:pPr>
        <w:pStyle w:val="0"/>
        <w:ind w:firstLine="540"/>
        <w:jc w:val="both"/>
      </w:pPr>
      <w:r>
        <w:rPr>
          <w:sz w:val="20"/>
        </w:rPr>
        <w:t xml:space="preserve">В рамках государственной </w:t>
      </w:r>
      <w:r>
        <w:rPr>
          <w:sz w:val="20"/>
        </w:rPr>
        <w:t xml:space="preserve">программы</w:t>
      </w:r>
      <w:r>
        <w:rPr>
          <w:sz w:val="20"/>
        </w:rPr>
        <w:t xml:space="preserve"> Российской Федерации "Обеспечение доступным и комфортным жильем и коммунальными услугами граждан Российской Федерации" в 2021 году был решен жилищный вопрос 23,9 тыс. семей 16 льготных категорий граждан, в том числе установленных законодательством Российской Федерации, из них 1,9 тыс. инвалидов и семей, имеющих детей-инвалидов, принятых органами местного самоуправления на учет нуждающихся в предоставлении жилых помещений до 1 января 2005 г. Кроме того, по данным Единой государственной информационной системы социального обеспечения, в 2021 году обеспечено жильем порядка 22,5 тыс. детей-сирот.</w:t>
      </w:r>
    </w:p>
    <w:p>
      <w:pPr>
        <w:pStyle w:val="0"/>
        <w:spacing w:before="200" w:lineRule="auto"/>
        <w:ind w:firstLine="540"/>
        <w:jc w:val="both"/>
      </w:pPr>
      <w:r>
        <w:rPr>
          <w:sz w:val="20"/>
        </w:rPr>
        <w:t xml:space="preserve">По состоянию на 1 января 2022 г. на учете нуждающихся в предоставлении жилых помещений (имеющих право на предоставление социальной выплаты) состоят 748,8 тыс. семей, подлежащих обеспечению жильем в рамках указанной государственной </w:t>
      </w:r>
      <w:r>
        <w:rPr>
          <w:sz w:val="20"/>
        </w:rPr>
        <w:t xml:space="preserve">программы</w:t>
      </w:r>
      <w:r>
        <w:rPr>
          <w:sz w:val="20"/>
        </w:rPr>
        <w:t xml:space="preserve"> Российской Федерации.</w:t>
      </w:r>
    </w:p>
    <w:p>
      <w:pPr>
        <w:pStyle w:val="0"/>
        <w:spacing w:before="200" w:lineRule="auto"/>
        <w:ind w:firstLine="540"/>
        <w:jc w:val="both"/>
      </w:pPr>
      <w:r>
        <w:rPr>
          <w:sz w:val="20"/>
        </w:rPr>
        <w:t xml:space="preserve">Вызовом является то, что срок ожидания в очереди на улучшение жилищных условий составляет в среднем 25 лет.</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улучшение жилищных условий граждан, перед которыми имеются обязательства государства по обеспечению жильем на 1 января 2022 г., до 2030 года;</w:t>
      </w:r>
    </w:p>
    <w:p>
      <w:pPr>
        <w:pStyle w:val="0"/>
        <w:spacing w:before="200" w:lineRule="auto"/>
        <w:ind w:firstLine="540"/>
        <w:jc w:val="both"/>
      </w:pPr>
      <w:r>
        <w:rPr>
          <w:sz w:val="20"/>
        </w:rPr>
        <w:t xml:space="preserve">завершение до 2025 года мероприятий по обеспечению жильем инвалидов и семей, имеющих детей-инвалидов, и отдельных категорий граждан, проживающих на территории Республики Крым и г. Севастополя.</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инвентаризация сформированных очередей на улучшение жилищных условий и создание единого реестра нуждающихся в улучшении жилищных условий граждан;</w:t>
      </w:r>
    </w:p>
    <w:p>
      <w:pPr>
        <w:pStyle w:val="0"/>
        <w:spacing w:before="200" w:lineRule="auto"/>
        <w:ind w:firstLine="540"/>
        <w:jc w:val="both"/>
      </w:pPr>
      <w:r>
        <w:rPr>
          <w:sz w:val="20"/>
        </w:rPr>
        <w:t xml:space="preserve">строительство жилищного фонда социального использования и арендного жилья;</w:t>
      </w:r>
    </w:p>
    <w:p>
      <w:pPr>
        <w:pStyle w:val="0"/>
        <w:spacing w:before="200" w:lineRule="auto"/>
        <w:ind w:firstLine="540"/>
        <w:jc w:val="both"/>
      </w:pPr>
      <w:r>
        <w:rPr>
          <w:sz w:val="20"/>
        </w:rPr>
        <w:t xml:space="preserve">совершенствование законодательства Российской Федерации в сфере обеспечения жильем детей-сирот, в том числе в части внедрения альтернативных способов улучшения жилищных условий детей-сирот;</w:t>
      </w:r>
    </w:p>
    <w:p>
      <w:pPr>
        <w:pStyle w:val="0"/>
        <w:spacing w:before="200" w:lineRule="auto"/>
        <w:ind w:firstLine="540"/>
        <w:jc w:val="both"/>
      </w:pPr>
      <w:r>
        <w:rPr>
          <w:sz w:val="20"/>
        </w:rPr>
        <w:t xml:space="preserve">расширение мер жилищной поддержки граждан, в том числе через инструмент долгосрочной аренды жилых помещений в качестве одного из способов решения жилищного вопроса;</w:t>
      </w:r>
    </w:p>
    <w:p>
      <w:pPr>
        <w:pStyle w:val="0"/>
        <w:spacing w:before="200" w:lineRule="auto"/>
        <w:ind w:firstLine="540"/>
        <w:jc w:val="both"/>
      </w:pPr>
      <w:r>
        <w:rPr>
          <w:sz w:val="20"/>
        </w:rPr>
        <w:t xml:space="preserve">внедрение нового механизма улучшения жилищных условий граждан путем выдачи и использования сертификата на получение социального наемного жилья.</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сформирована единая сквозная система учета граждан, нуждающихся в улучшении жилищных условий, и повышена адресность поддержки;</w:t>
      </w:r>
    </w:p>
    <w:p>
      <w:pPr>
        <w:pStyle w:val="0"/>
        <w:spacing w:before="200" w:lineRule="auto"/>
        <w:ind w:firstLine="540"/>
        <w:jc w:val="both"/>
      </w:pPr>
      <w:r>
        <w:rPr>
          <w:sz w:val="20"/>
        </w:rPr>
        <w:t xml:space="preserve">граждане, нуждающиеся в улучшении жилищных условий, имеют возможность проживать в жилом помещении социального использования с регулируемыми и доступными тарифами на проживание;</w:t>
      </w:r>
    </w:p>
    <w:p>
      <w:pPr>
        <w:pStyle w:val="0"/>
        <w:spacing w:before="200" w:lineRule="auto"/>
        <w:ind w:firstLine="540"/>
        <w:jc w:val="both"/>
      </w:pPr>
      <w:r>
        <w:rPr>
          <w:sz w:val="20"/>
        </w:rPr>
        <w:t xml:space="preserve">с 2030 года средний срок ожидания в очереди на улучшение жилищных условий граждан не превышает 5 лет.</w:t>
      </w:r>
    </w:p>
    <w:p>
      <w:pPr>
        <w:pStyle w:val="0"/>
        <w:jc w:val="both"/>
      </w:pPr>
      <w:r>
        <w:rPr>
          <w:sz w:val="20"/>
        </w:rPr>
      </w:r>
    </w:p>
    <w:p>
      <w:pPr>
        <w:pStyle w:val="2"/>
        <w:outlineLvl w:val="2"/>
        <w:jc w:val="center"/>
      </w:pPr>
      <w:r>
        <w:rPr>
          <w:sz w:val="20"/>
        </w:rPr>
        <w:t xml:space="preserve">Развитие рынка арендного жилья коммерческого,</w:t>
      </w:r>
    </w:p>
    <w:p>
      <w:pPr>
        <w:pStyle w:val="2"/>
        <w:jc w:val="center"/>
      </w:pPr>
      <w:r>
        <w:rPr>
          <w:sz w:val="20"/>
        </w:rPr>
        <w:t xml:space="preserve">некоммерческого и социального использования</w:t>
      </w:r>
    </w:p>
    <w:p>
      <w:pPr>
        <w:pStyle w:val="0"/>
        <w:jc w:val="both"/>
      </w:pPr>
      <w:r>
        <w:rPr>
          <w:sz w:val="20"/>
        </w:rPr>
      </w:r>
    </w:p>
    <w:p>
      <w:pPr>
        <w:pStyle w:val="0"/>
        <w:ind w:firstLine="540"/>
        <w:jc w:val="both"/>
      </w:pPr>
      <w:r>
        <w:rPr>
          <w:sz w:val="20"/>
        </w:rPr>
        <w:t xml:space="preserve">Арендное жилье является важным элементом жилищного рынка и позволяет удовлетворять жилищные потребности граждан на определенных стадиях жизненного пути (например, для молодых семей, специалистов, семей, не имеющих достаточно средств для выплаты первоначального взноса), решать задачи обеспечения служебным жильем.</w:t>
      </w:r>
    </w:p>
    <w:p>
      <w:pPr>
        <w:pStyle w:val="0"/>
        <w:spacing w:before="200" w:lineRule="auto"/>
        <w:ind w:firstLine="540"/>
        <w:jc w:val="both"/>
      </w:pPr>
      <w:r>
        <w:rPr>
          <w:sz w:val="20"/>
        </w:rPr>
        <w:t xml:space="preserve">Ключевой характеристикой жилищного фонда Российской Федерации является высокая доля жилья в собственности, в частной собственности находится 93 процента жилья. По итогам 2021 года в Российской Федерации около 7 млн. семей (11 процентов общего числа домохозяйств) арендуют жилье. При этом основу существующего рыночного арендного жилищного фонда составляет жилье, полученное в рамках бесплатной приватизации. Большая часть арендного жилищного фонда находится в "теневом" секторе российской экономики и не приносит доходов в бюджет. Арендное жилье, эксплуатация которого осуществляется институциональными инвесторами, в российской практике практически отсутствует.</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для 30 процентов российских семей приобретение жилья в ипотеку недоступно даже при нулевой ставке ипотечного кредита;</w:t>
      </w:r>
    </w:p>
    <w:p>
      <w:pPr>
        <w:pStyle w:val="0"/>
        <w:spacing w:before="200" w:lineRule="auto"/>
        <w:ind w:firstLine="540"/>
        <w:jc w:val="both"/>
      </w:pPr>
      <w:r>
        <w:rPr>
          <w:sz w:val="20"/>
        </w:rPr>
        <w:t xml:space="preserve">отсутствует рынок аренды жилья, эксплуатация которого осуществляется институциональными инвесторами, и легальный арендный жилищный фонд, при этом доля "теневой" аренды превышает 95 процентов общего объема жилого фонда, сдаваемого в аренду;</w:t>
      </w:r>
    </w:p>
    <w:p>
      <w:pPr>
        <w:pStyle w:val="0"/>
        <w:spacing w:before="200" w:lineRule="auto"/>
        <w:ind w:firstLine="540"/>
        <w:jc w:val="both"/>
      </w:pPr>
      <w:r>
        <w:rPr>
          <w:sz w:val="20"/>
        </w:rPr>
        <w:t xml:space="preserve">отсутствует сегмент некоммерческой аренды для семей с доходами ниже средних, который формируется частными инвесторами при поддержке государства;</w:t>
      </w:r>
    </w:p>
    <w:p>
      <w:pPr>
        <w:pStyle w:val="0"/>
        <w:spacing w:before="200" w:lineRule="auto"/>
        <w:ind w:firstLine="540"/>
        <w:jc w:val="both"/>
      </w:pPr>
      <w:r>
        <w:rPr>
          <w:sz w:val="20"/>
        </w:rPr>
        <w:t xml:space="preserve">жилищный фонд, предоставляемый по договорам социального найма, ограничен и выбывает в результате его бесплатной приватизации.</w:t>
      </w:r>
    </w:p>
    <w:p>
      <w:pPr>
        <w:pStyle w:val="0"/>
        <w:spacing w:before="200" w:lineRule="auto"/>
        <w:ind w:firstLine="540"/>
        <w:jc w:val="both"/>
      </w:pPr>
      <w:r>
        <w:rPr>
          <w:sz w:val="20"/>
        </w:rPr>
        <w:t xml:space="preserve">Задачей является улучшение жилищных условий граждан за счет формирования доступного рынка арендного жилья:</w:t>
      </w:r>
    </w:p>
    <w:p>
      <w:pPr>
        <w:pStyle w:val="0"/>
        <w:spacing w:before="200" w:lineRule="auto"/>
        <w:ind w:firstLine="540"/>
        <w:jc w:val="both"/>
      </w:pPr>
      <w:r>
        <w:rPr>
          <w:sz w:val="20"/>
        </w:rPr>
        <w:t xml:space="preserve">коммерческого - для семей с доходами не ниже средних;</w:t>
      </w:r>
    </w:p>
    <w:p>
      <w:pPr>
        <w:pStyle w:val="0"/>
        <w:spacing w:before="200" w:lineRule="auto"/>
        <w:ind w:firstLine="540"/>
        <w:jc w:val="both"/>
      </w:pPr>
      <w:r>
        <w:rPr>
          <w:sz w:val="20"/>
        </w:rPr>
        <w:t xml:space="preserve">некоммерческого - для отдельных категорий семей с доходами ниже средних;</w:t>
      </w:r>
    </w:p>
    <w:p>
      <w:pPr>
        <w:pStyle w:val="0"/>
        <w:spacing w:before="200" w:lineRule="auto"/>
        <w:ind w:firstLine="540"/>
        <w:jc w:val="both"/>
      </w:pPr>
      <w:r>
        <w:rPr>
          <w:sz w:val="20"/>
        </w:rPr>
        <w:t xml:space="preserve">социального (государственного и муниципального) - для отдельных категорий семей с низкими доходами.</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совершенствование правового регулирования сферы строительства арендного жилья коммерческого, некоммерческого и социального использования;</w:t>
      </w:r>
    </w:p>
    <w:p>
      <w:pPr>
        <w:pStyle w:val="0"/>
        <w:spacing w:before="200" w:lineRule="auto"/>
        <w:ind w:firstLine="540"/>
        <w:jc w:val="both"/>
      </w:pPr>
      <w:r>
        <w:rPr>
          <w:sz w:val="20"/>
        </w:rPr>
        <w:t xml:space="preserve">повышение прозрачности рынка арендного жилья путем создания цифровых инструментов в сфере аренды жилья;</w:t>
      </w:r>
    </w:p>
    <w:p>
      <w:pPr>
        <w:pStyle w:val="0"/>
        <w:spacing w:before="200" w:lineRule="auto"/>
        <w:ind w:firstLine="540"/>
        <w:jc w:val="both"/>
      </w:pPr>
      <w:r>
        <w:rPr>
          <w:sz w:val="20"/>
        </w:rPr>
        <w:t xml:space="preserve">создание механизмов поддержки проектов коммерческой аренды, предусматривающих предоставление ипотечных кредитов для строительства арендного жилья;</w:t>
      </w:r>
    </w:p>
    <w:p>
      <w:pPr>
        <w:pStyle w:val="0"/>
        <w:spacing w:before="200" w:lineRule="auto"/>
        <w:ind w:firstLine="540"/>
        <w:jc w:val="both"/>
      </w:pPr>
      <w:r>
        <w:rPr>
          <w:sz w:val="20"/>
        </w:rPr>
        <w:t xml:space="preserve">использование механизмов государственно-частного партнерства в целях формирования жилищного фонда социального использования и арендного жилья;</w:t>
      </w:r>
    </w:p>
    <w:p>
      <w:pPr>
        <w:pStyle w:val="0"/>
        <w:spacing w:before="200" w:lineRule="auto"/>
        <w:ind w:firstLine="540"/>
        <w:jc w:val="both"/>
      </w:pPr>
      <w:r>
        <w:rPr>
          <w:sz w:val="20"/>
        </w:rPr>
        <w:t xml:space="preserve">предоставление земельных участков для строительства арендного жилья на льготных условиях;</w:t>
      </w:r>
    </w:p>
    <w:p>
      <w:pPr>
        <w:pStyle w:val="0"/>
        <w:spacing w:before="200" w:lineRule="auto"/>
        <w:ind w:firstLine="540"/>
        <w:jc w:val="both"/>
      </w:pPr>
      <w:r>
        <w:rPr>
          <w:sz w:val="20"/>
        </w:rPr>
        <w:t xml:space="preserve">расширение мер жилищной поддержки граждан через инструмент долгосрочной аренды жилых помещений в качестве одного из способов решения жилищного вопроса;</w:t>
      </w:r>
    </w:p>
    <w:p>
      <w:pPr>
        <w:pStyle w:val="0"/>
        <w:spacing w:before="200" w:lineRule="auto"/>
        <w:ind w:firstLine="540"/>
        <w:jc w:val="both"/>
      </w:pPr>
      <w:r>
        <w:rPr>
          <w:sz w:val="20"/>
        </w:rPr>
        <w:t xml:space="preserve">введение мер стимулирования инвесторов для создания арендного жилищного фонда;</w:t>
      </w:r>
    </w:p>
    <w:p>
      <w:pPr>
        <w:pStyle w:val="0"/>
        <w:spacing w:before="200" w:lineRule="auto"/>
        <w:ind w:firstLine="540"/>
        <w:jc w:val="both"/>
      </w:pPr>
      <w:r>
        <w:rPr>
          <w:sz w:val="20"/>
        </w:rPr>
        <w:t xml:space="preserve">внедрение механизма улучшения жилищных условий граждан путем выдачи и использования сертификата на получение арендного жилья социального использования или оплату аренды.</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сформировано правовое регулирование сферы арендного жилья коммерческого, некоммерческого и социального использования;</w:t>
      </w:r>
    </w:p>
    <w:p>
      <w:pPr>
        <w:pStyle w:val="0"/>
        <w:spacing w:before="200" w:lineRule="auto"/>
        <w:ind w:firstLine="540"/>
        <w:jc w:val="both"/>
      </w:pPr>
      <w:r>
        <w:rPr>
          <w:sz w:val="20"/>
        </w:rPr>
        <w:t xml:space="preserve">созданы механизмы финансирования проектов строительства арендного жилья;</w:t>
      </w:r>
    </w:p>
    <w:p>
      <w:pPr>
        <w:pStyle w:val="0"/>
        <w:spacing w:before="200" w:lineRule="auto"/>
        <w:ind w:firstLine="540"/>
        <w:jc w:val="both"/>
      </w:pPr>
      <w:r>
        <w:rPr>
          <w:sz w:val="20"/>
        </w:rPr>
        <w:t xml:space="preserve">обеспечен ежегодный объем строительства арендного жилья до 5 млн. кв. метров.</w:t>
      </w:r>
    </w:p>
    <w:p>
      <w:pPr>
        <w:pStyle w:val="0"/>
        <w:jc w:val="both"/>
      </w:pPr>
      <w:r>
        <w:rPr>
          <w:sz w:val="20"/>
        </w:rPr>
      </w:r>
    </w:p>
    <w:p>
      <w:pPr>
        <w:pStyle w:val="2"/>
        <w:outlineLvl w:val="1"/>
        <w:jc w:val="center"/>
      </w:pPr>
      <w:r>
        <w:rPr>
          <w:sz w:val="20"/>
        </w:rPr>
        <w:t xml:space="preserve">V. Новый ритм строительства</w:t>
      </w:r>
    </w:p>
    <w:p>
      <w:pPr>
        <w:pStyle w:val="0"/>
        <w:jc w:val="both"/>
      </w:pPr>
      <w:r>
        <w:rPr>
          <w:sz w:val="20"/>
        </w:rPr>
      </w:r>
    </w:p>
    <w:p>
      <w:pPr>
        <w:pStyle w:val="2"/>
        <w:outlineLvl w:val="2"/>
        <w:jc w:val="center"/>
      </w:pPr>
      <w:r>
        <w:rPr>
          <w:sz w:val="20"/>
        </w:rPr>
        <w:t xml:space="preserve">1. Сокращение инвестиционно-строительного цикла</w:t>
      </w:r>
    </w:p>
    <w:p>
      <w:pPr>
        <w:pStyle w:val="0"/>
        <w:jc w:val="both"/>
      </w:pPr>
      <w:r>
        <w:rPr>
          <w:sz w:val="20"/>
        </w:rPr>
      </w:r>
    </w:p>
    <w:p>
      <w:pPr>
        <w:pStyle w:val="2"/>
        <w:outlineLvl w:val="3"/>
        <w:jc w:val="center"/>
      </w:pPr>
      <w:r>
        <w:rPr>
          <w:sz w:val="20"/>
        </w:rPr>
        <w:t xml:space="preserve">Административная трансформация</w:t>
      </w:r>
    </w:p>
    <w:p>
      <w:pPr>
        <w:pStyle w:val="0"/>
        <w:jc w:val="both"/>
      </w:pPr>
      <w:r>
        <w:rPr>
          <w:sz w:val="20"/>
        </w:rPr>
      </w:r>
    </w:p>
    <w:p>
      <w:pPr>
        <w:pStyle w:val="0"/>
        <w:ind w:firstLine="540"/>
        <w:jc w:val="both"/>
      </w:pPr>
      <w:r>
        <w:rPr>
          <w:sz w:val="20"/>
        </w:rPr>
        <w:t xml:space="preserve">Сегодня строительная отрасль сталкивается с вызовами, преодолев которые можно значительно повысить ее эффективность и увеличить вклад в экономику страны. Существенное повышение эффективности использования средств, вовлеченных в инвестиционно-строительный цикл, возможно за счет системных мер совершенствования нормативно-правового регулирования отрасли.</w:t>
      </w:r>
    </w:p>
    <w:p>
      <w:pPr>
        <w:pStyle w:val="0"/>
        <w:spacing w:before="200" w:lineRule="auto"/>
        <w:ind w:firstLine="540"/>
        <w:jc w:val="both"/>
      </w:pPr>
      <w:r>
        <w:rPr>
          <w:sz w:val="20"/>
        </w:rPr>
        <w:t xml:space="preserve">В 2021 году изменениями в законодательство о градостроительной деятельности установлен закрытый универсальный перечень этапов и мероприятий реализации проекта по строительству объекта капитального строительства. Ранее такие этапы и мероприятия устанавливались в исчерпывающих перечнях процедур применительно к различным объектам капитального строительства. Например, в жилищном строительстве нужно было осуществить более 90 процедур в зависимости от вида объекта капитального строительства. Сегодня для объектов капитального строительства всех видов установлен универсальный перечень из 32 мероприятий, осуществляемых при реализации проектов по строительству объектов капитального строительства.</w:t>
      </w:r>
    </w:p>
    <w:p>
      <w:pPr>
        <w:pStyle w:val="0"/>
        <w:spacing w:before="200" w:lineRule="auto"/>
        <w:ind w:firstLine="540"/>
        <w:jc w:val="both"/>
      </w:pPr>
      <w:r>
        <w:rPr>
          <w:sz w:val="20"/>
        </w:rPr>
        <w:t xml:space="preserve">Для всех субъектов Российской Федерации исключается возможность установления дополнительных мероприятий, не предусмотренных нормативными правовыми актами Российской Федерации.</w:t>
      </w:r>
    </w:p>
    <w:p>
      <w:pPr>
        <w:pStyle w:val="0"/>
        <w:spacing w:before="200" w:lineRule="auto"/>
        <w:ind w:firstLine="540"/>
        <w:jc w:val="both"/>
      </w:pPr>
      <w:r>
        <w:rPr>
          <w:sz w:val="20"/>
        </w:rPr>
        <w:t xml:space="preserve">Также в 2021 году Правительством Российской Федерации утвержден исчерпывающий перечень документов, сведений, материалов, согласований, предусмотренных нормативными правовыми актами и необходимых застройщику, техническому заказчику для реализации проекта по строительству объектов капитального строительства (далее - перечень), предусматривающий 989 позиций. В 2022 году перечень сокращен до 751 позиции.</w:t>
      </w:r>
    </w:p>
    <w:p>
      <w:pPr>
        <w:pStyle w:val="0"/>
        <w:spacing w:before="200" w:lineRule="auto"/>
        <w:ind w:firstLine="540"/>
        <w:jc w:val="both"/>
      </w:pPr>
      <w:r>
        <w:rPr>
          <w:sz w:val="20"/>
        </w:rPr>
        <w:t xml:space="preserve">При этом за предъявление требований о получении дополнительных документов, не предусмотренных перечнем, установлена административная ответственность. Полномочиями по контролю за соблюдением новых требований наделена Федеральная антимонопольная служба.</w:t>
      </w:r>
    </w:p>
    <w:p>
      <w:pPr>
        <w:pStyle w:val="0"/>
        <w:spacing w:before="200" w:lineRule="auto"/>
        <w:ind w:firstLine="540"/>
        <w:jc w:val="both"/>
      </w:pPr>
      <w:r>
        <w:rPr>
          <w:sz w:val="20"/>
        </w:rPr>
        <w:t xml:space="preserve">Кроме того, реализуется инициатива социально-экономического развития Российской Федерации "Реинжиниринг правил промышленного строительства", в рамках которой организована работа по сокращению излишних требований и согласований при строительстве объектов капитального строительства производственного назначения.</w:t>
      </w:r>
    </w:p>
    <w:p>
      <w:pPr>
        <w:pStyle w:val="0"/>
        <w:spacing w:before="200" w:lineRule="auto"/>
        <w:ind w:firstLine="540"/>
        <w:jc w:val="both"/>
      </w:pPr>
      <w:r>
        <w:rPr>
          <w:sz w:val="20"/>
        </w:rPr>
        <w:t xml:space="preserve">Также в 2021 - 2022 годах завершен очередной этап унификации правил подключения (технологического присоединения) к сетям инженерно-технического обеспечения, приняты прозрачные правила переноса (выноса) сетей инженерно-технического обеспечения, предусматривающие баланс интересов застройщиков и сетевых организаций.</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избыточное количество документов, сведений, материалов, согласований;</w:t>
      </w:r>
    </w:p>
    <w:p>
      <w:pPr>
        <w:pStyle w:val="0"/>
        <w:spacing w:before="200" w:lineRule="auto"/>
        <w:ind w:firstLine="540"/>
        <w:jc w:val="both"/>
      </w:pPr>
      <w:r>
        <w:rPr>
          <w:sz w:val="20"/>
        </w:rPr>
        <w:t xml:space="preserve">около 50 процентов общих сроков инвестиционно-строительного цикла занимает прохождение бюрократических процедур;</w:t>
      </w:r>
    </w:p>
    <w:p>
      <w:pPr>
        <w:pStyle w:val="0"/>
        <w:spacing w:before="200" w:lineRule="auto"/>
        <w:ind w:firstLine="540"/>
        <w:jc w:val="both"/>
      </w:pPr>
      <w:r>
        <w:rPr>
          <w:sz w:val="20"/>
        </w:rPr>
        <w:t xml:space="preserve">дублирование предоставления застройщиком одной и той же информации в различные ведомства на разных этапах строительства.</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оптимизация процедуры, сокращение сроков инвестиционно-строительного цикла строительства объектов капитального строительства, включая промышленные объекты;</w:t>
      </w:r>
    </w:p>
    <w:p>
      <w:pPr>
        <w:pStyle w:val="0"/>
        <w:spacing w:before="200" w:lineRule="auto"/>
        <w:ind w:firstLine="540"/>
        <w:jc w:val="both"/>
      </w:pPr>
      <w:r>
        <w:rPr>
          <w:sz w:val="20"/>
        </w:rPr>
        <w:t xml:space="preserve">снижение административной нагрузки на строительный бизнес, в том числе за счет совершенствования условий и сокращения сроков подключения объектов капитального строительства к сетям инженерно-технического обеспечения.</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сокращение и алгоритмизация исчерпывающего перечня;</w:t>
      </w:r>
    </w:p>
    <w:p>
      <w:pPr>
        <w:pStyle w:val="0"/>
        <w:spacing w:before="200" w:lineRule="auto"/>
        <w:ind w:firstLine="540"/>
        <w:jc w:val="both"/>
      </w:pPr>
      <w:r>
        <w:rPr>
          <w:sz w:val="20"/>
        </w:rPr>
        <w:t xml:space="preserve">сокращение и оптимизация излишних и устаревших требований и согласований в строительстве, предусмотренных ведомственными актами, актами субъектов Российской Федерации и муниципальными правовыми актами, с учетом применения принципов административной трансформации:</w:t>
      </w:r>
    </w:p>
    <w:p>
      <w:pPr>
        <w:pStyle w:val="0"/>
        <w:spacing w:before="200" w:lineRule="auto"/>
        <w:ind w:firstLine="540"/>
        <w:jc w:val="both"/>
      </w:pPr>
      <w:r>
        <w:rPr>
          <w:sz w:val="20"/>
        </w:rPr>
        <w:t xml:space="preserve">"нет регламента - нет процедуры";</w:t>
      </w:r>
    </w:p>
    <w:p>
      <w:pPr>
        <w:pStyle w:val="0"/>
        <w:spacing w:before="200" w:lineRule="auto"/>
        <w:ind w:firstLine="540"/>
        <w:jc w:val="both"/>
      </w:pPr>
      <w:r>
        <w:rPr>
          <w:sz w:val="20"/>
        </w:rPr>
        <w:t xml:space="preserve">"не описан предмет и (или) нет оснований для отказа - нет процедуры";</w:t>
      </w:r>
    </w:p>
    <w:p>
      <w:pPr>
        <w:pStyle w:val="0"/>
        <w:spacing w:before="200" w:lineRule="auto"/>
        <w:ind w:firstLine="540"/>
        <w:jc w:val="both"/>
      </w:pPr>
      <w:r>
        <w:rPr>
          <w:sz w:val="20"/>
        </w:rPr>
        <w:t xml:space="preserve">"нет срока - нет процедуры";</w:t>
      </w:r>
    </w:p>
    <w:p>
      <w:pPr>
        <w:pStyle w:val="0"/>
        <w:spacing w:before="200" w:lineRule="auto"/>
        <w:ind w:firstLine="540"/>
        <w:jc w:val="both"/>
      </w:pPr>
      <w:r>
        <w:rPr>
          <w:sz w:val="20"/>
        </w:rPr>
        <w:t xml:space="preserve">"один предмет - одна процедура" (исключение дублирующих друг друга процедур);</w:t>
      </w:r>
    </w:p>
    <w:p>
      <w:pPr>
        <w:pStyle w:val="0"/>
        <w:spacing w:before="200" w:lineRule="auto"/>
        <w:ind w:firstLine="540"/>
        <w:jc w:val="both"/>
      </w:pPr>
      <w:r>
        <w:rPr>
          <w:sz w:val="20"/>
        </w:rPr>
        <w:t xml:space="preserve">"нет влияния на результат - нет процедуры" (исключение избыточных и устаревших процедур);</w:t>
      </w:r>
    </w:p>
    <w:p>
      <w:pPr>
        <w:pStyle w:val="0"/>
        <w:spacing w:before="200" w:lineRule="auto"/>
        <w:ind w:firstLine="540"/>
        <w:jc w:val="both"/>
      </w:pPr>
      <w:r>
        <w:rPr>
          <w:sz w:val="20"/>
        </w:rPr>
        <w:t xml:space="preserve">построение "клиентского пути" инвестора и определение "целевых моделей" для разных видов объектов капитального строительства в целях достижения комплексного эффекта по уменьшению сроков и издержек строительства;</w:t>
      </w:r>
    </w:p>
    <w:p>
      <w:pPr>
        <w:pStyle w:val="0"/>
        <w:spacing w:before="200" w:lineRule="auto"/>
        <w:ind w:firstLine="540"/>
        <w:jc w:val="both"/>
      </w:pPr>
      <w:r>
        <w:rPr>
          <w:sz w:val="20"/>
        </w:rPr>
        <w:t xml:space="preserve">обеспечение возможности предоставления ряда услуг и функций в электронном виде (в том числе объединенных жизненной ситуацией и предоставляемых в автоматическом режиме);</w:t>
      </w:r>
    </w:p>
    <w:p>
      <w:pPr>
        <w:pStyle w:val="0"/>
        <w:spacing w:before="200" w:lineRule="auto"/>
        <w:ind w:firstLine="540"/>
        <w:jc w:val="both"/>
      </w:pPr>
      <w:r>
        <w:rPr>
          <w:sz w:val="20"/>
        </w:rPr>
        <w:t xml:space="preserve">внедрение принципа оказания комплексных услуг, при котором в рамках одного заявления возможно получить несколько услуг;</w:t>
      </w:r>
    </w:p>
    <w:p>
      <w:pPr>
        <w:pStyle w:val="0"/>
        <w:spacing w:before="200" w:lineRule="auto"/>
        <w:ind w:firstLine="540"/>
        <w:jc w:val="both"/>
      </w:pPr>
      <w:r>
        <w:rPr>
          <w:sz w:val="20"/>
        </w:rPr>
        <w:t xml:space="preserve">проработка возможности сокращения сроков подключения объектов капитального строительства к сетям инженерно-технического обеспечения и совершенствования регулирования в целях снижения административной нагрузки на застройщиков и сокращения сроков реализации инвестиционно-строительных проектов.</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инвестиционно-строительный цикл строительства объектов капитального строительства сокращен на 30 процентов (относительно 2019 года) без снижения безопасности и качества строительства;</w:t>
      </w:r>
    </w:p>
    <w:p>
      <w:pPr>
        <w:pStyle w:val="0"/>
        <w:spacing w:before="200" w:lineRule="auto"/>
        <w:ind w:firstLine="540"/>
        <w:jc w:val="both"/>
      </w:pPr>
      <w:r>
        <w:rPr>
          <w:sz w:val="20"/>
        </w:rPr>
        <w:t xml:space="preserve">сокращено количество документов, сведений, материалов, согласований в строительстве не менее чем в 2 раза;</w:t>
      </w:r>
    </w:p>
    <w:p>
      <w:pPr>
        <w:pStyle w:val="0"/>
        <w:spacing w:before="200" w:lineRule="auto"/>
        <w:ind w:firstLine="540"/>
        <w:jc w:val="both"/>
      </w:pPr>
      <w:r>
        <w:rPr>
          <w:sz w:val="20"/>
        </w:rPr>
        <w:t xml:space="preserve">от выбора земельного участка до начала эксплуатации объекта капитального строительства необходимо осуществить не более 100 действий;</w:t>
      </w:r>
    </w:p>
    <w:p>
      <w:pPr>
        <w:pStyle w:val="0"/>
        <w:spacing w:before="200" w:lineRule="auto"/>
        <w:ind w:firstLine="540"/>
        <w:jc w:val="both"/>
      </w:pPr>
      <w:r>
        <w:rPr>
          <w:sz w:val="20"/>
        </w:rPr>
        <w:t xml:space="preserve">снижена административная нагрузка на застройщиков в части подключения объектов капитального строительства к сетям инженерно-технического обеспечения;</w:t>
      </w:r>
    </w:p>
    <w:p>
      <w:pPr>
        <w:pStyle w:val="0"/>
        <w:spacing w:before="200" w:lineRule="auto"/>
        <w:ind w:firstLine="540"/>
        <w:jc w:val="both"/>
      </w:pPr>
      <w:r>
        <w:rPr>
          <w:sz w:val="20"/>
        </w:rPr>
        <w:t xml:space="preserve">сокращены сроки строительства групп промышленных объектов на 40 процентов к 2030 году по отношению к 2020 году;</w:t>
      </w:r>
    </w:p>
    <w:p>
      <w:pPr>
        <w:pStyle w:val="0"/>
        <w:spacing w:before="200" w:lineRule="auto"/>
        <w:ind w:firstLine="540"/>
        <w:jc w:val="both"/>
      </w:pPr>
      <w:r>
        <w:rPr>
          <w:sz w:val="20"/>
        </w:rPr>
        <w:t xml:space="preserve">сформировано единое информационное пространство отрасли строительства, предназначенное для внедрения технологий полностью безбумажного, открытого и прозрачного взаимодействия участников градостроительной деятельности на всех этапах жизненного цикла объекта капитального строительства;</w:t>
      </w:r>
    </w:p>
    <w:p>
      <w:pPr>
        <w:pStyle w:val="0"/>
        <w:spacing w:before="200" w:lineRule="auto"/>
        <w:ind w:firstLine="540"/>
        <w:jc w:val="both"/>
      </w:pPr>
      <w:r>
        <w:rPr>
          <w:sz w:val="20"/>
        </w:rPr>
        <w:t xml:space="preserve">строительная отрасль стала клиентоориентированной.</w:t>
      </w:r>
    </w:p>
    <w:p>
      <w:pPr>
        <w:pStyle w:val="0"/>
        <w:jc w:val="both"/>
      </w:pPr>
      <w:r>
        <w:rPr>
          <w:sz w:val="20"/>
        </w:rPr>
      </w:r>
    </w:p>
    <w:p>
      <w:pPr>
        <w:pStyle w:val="2"/>
        <w:outlineLvl w:val="3"/>
        <w:jc w:val="center"/>
      </w:pPr>
      <w:r>
        <w:rPr>
          <w:sz w:val="20"/>
        </w:rPr>
        <w:t xml:space="preserve">Совершенствование системы технического регулирования</w:t>
      </w:r>
    </w:p>
    <w:p>
      <w:pPr>
        <w:pStyle w:val="0"/>
        <w:jc w:val="both"/>
      </w:pPr>
      <w:r>
        <w:rPr>
          <w:sz w:val="20"/>
        </w:rPr>
      </w:r>
    </w:p>
    <w:p>
      <w:pPr>
        <w:pStyle w:val="0"/>
        <w:ind w:firstLine="540"/>
        <w:jc w:val="both"/>
      </w:pPr>
      <w:r>
        <w:rPr>
          <w:sz w:val="20"/>
        </w:rPr>
        <w:t xml:space="preserve">Нормативная правовая база системы технического регулирования в настоящее время характеризуется отсутствием системного подхода, наличием предписывающих норм, многочисленного дублирования и противоречий в регулировании процессов проектирования, строительства и эксплуатации объектов капитального строительства.</w:t>
      </w:r>
    </w:p>
    <w:p>
      <w:pPr>
        <w:pStyle w:val="0"/>
        <w:spacing w:before="200" w:lineRule="auto"/>
        <w:ind w:firstLine="540"/>
        <w:jc w:val="both"/>
      </w:pPr>
      <w:r>
        <w:rPr>
          <w:sz w:val="20"/>
        </w:rPr>
        <w:t xml:space="preserve">Устаревшая по структуре и принципу формирования, не соответствующая в полной мере современному техническому уровню, содержащая противоречивые и дублирующие документы база нормативно-технических требований тормозит инновационные процессы в строительстве, создает неоправданные административные технические барьеры для всех участников инвестиционно-строительного цикла, препятствует оперативному внедрению в практику строительства новых материалов и технологий.</w:t>
      </w:r>
    </w:p>
    <w:p>
      <w:pPr>
        <w:pStyle w:val="0"/>
        <w:spacing w:before="200" w:lineRule="auto"/>
        <w:ind w:firstLine="540"/>
        <w:jc w:val="both"/>
      </w:pPr>
      <w:r>
        <w:rPr>
          <w:sz w:val="20"/>
        </w:rPr>
        <w:t xml:space="preserve">За 2020 - 2022 годы реализован ряд мер по сокращению избыточных устаревших норм. Около 10500 требований в строительстве переведены из статуса обязательных в статус добровольных. Общее число обязательных требований сохраняется на уровне 380. В целях внедрения оптимальных строительных решений создан механизм оперативного закрепления однотипных технических решений - специальных технических условий в нормативно-технических документах ("2 СТУ = норма") путем сокращения сроков процедур корректировки сводов правил.</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несовершенная нормативная правовая база технического регулирования, сдерживающая внедрение передовых технологий и материалов;</w:t>
      </w:r>
    </w:p>
    <w:p>
      <w:pPr>
        <w:pStyle w:val="0"/>
        <w:spacing w:before="200" w:lineRule="auto"/>
        <w:ind w:firstLine="540"/>
        <w:jc w:val="both"/>
      </w:pPr>
      <w:r>
        <w:rPr>
          <w:sz w:val="20"/>
        </w:rPr>
        <w:t xml:space="preserve">несоразмерность отдельных действующих нормативных требований с потенциальным риском причинения вреда в сферах механической, санитарно-эпидемиологической, экологической безопасности;</w:t>
      </w:r>
    </w:p>
    <w:p>
      <w:pPr>
        <w:pStyle w:val="0"/>
        <w:spacing w:before="200" w:lineRule="auto"/>
        <w:ind w:firstLine="540"/>
        <w:jc w:val="both"/>
      </w:pPr>
      <w:r>
        <w:rPr>
          <w:sz w:val="20"/>
        </w:rPr>
        <w:t xml:space="preserve">отсутствие взаимной согласованности, дублирование и противоречие нормативных технических документов, разрабатываемых разными ведомствами;</w:t>
      </w:r>
    </w:p>
    <w:p>
      <w:pPr>
        <w:pStyle w:val="0"/>
        <w:spacing w:before="200" w:lineRule="auto"/>
        <w:ind w:firstLine="540"/>
        <w:jc w:val="both"/>
      </w:pPr>
      <w:r>
        <w:rPr>
          <w:sz w:val="20"/>
        </w:rPr>
        <w:t xml:space="preserve">несовершенство законодательно установленной системы регламентации этапов жизненного цикла объекта капитального строительства, отсутствие целостной системы оценки технических решений на различных этапах жизненного цикла (особенно на этапе эксплуатации);</w:t>
      </w:r>
    </w:p>
    <w:p>
      <w:pPr>
        <w:pStyle w:val="0"/>
        <w:spacing w:before="200" w:lineRule="auto"/>
        <w:ind w:firstLine="540"/>
        <w:jc w:val="both"/>
      </w:pPr>
      <w:r>
        <w:rPr>
          <w:sz w:val="20"/>
        </w:rPr>
        <w:t xml:space="preserve">ограничение области применения сводов правил, отсутствие понятного механизма применения обязательных и добровольных требований;</w:t>
      </w:r>
    </w:p>
    <w:p>
      <w:pPr>
        <w:pStyle w:val="0"/>
        <w:spacing w:before="200" w:lineRule="auto"/>
        <w:ind w:firstLine="540"/>
        <w:jc w:val="both"/>
      </w:pPr>
      <w:r>
        <w:rPr>
          <w:sz w:val="20"/>
        </w:rPr>
        <w:t xml:space="preserve">отсутствие быстрого, упрощенного порядка вывода на рынок новых строительных ресурсов (в том числе зарубежного производства).</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переход от предписывающего метода нормирования к параметрическому методу нормирования, обеспечивающему максимально быстрое внедрение инноваций при гарантированном соблюдении безопасности технических решений;</w:t>
      </w:r>
    </w:p>
    <w:p>
      <w:pPr>
        <w:pStyle w:val="0"/>
        <w:spacing w:before="200" w:lineRule="auto"/>
        <w:ind w:firstLine="540"/>
        <w:jc w:val="both"/>
      </w:pPr>
      <w:r>
        <w:rPr>
          <w:sz w:val="20"/>
        </w:rPr>
        <w:t xml:space="preserve">внедрение реестрового принципа разработки технических требований в сфере строительства путем формирования целостной системы нормативных документов, устанавливающей единые обязательные требования к проектированию, строительству и эксплуатации объекта капитального строительства и исключающей противоречия нормативных правовых и нормативных технических документов;</w:t>
      </w:r>
    </w:p>
    <w:p>
      <w:pPr>
        <w:pStyle w:val="0"/>
        <w:spacing w:before="200" w:lineRule="auto"/>
        <w:ind w:firstLine="540"/>
        <w:jc w:val="both"/>
      </w:pPr>
      <w:r>
        <w:rPr>
          <w:sz w:val="20"/>
        </w:rPr>
        <w:t xml:space="preserve">внедрение инновационных, энергоэффективных и экологичных технологий, в том числе развитие технологий модульного строительства, внедрение аддитивных технологий в строительстве и технологий "умный дом", расширение области применения нетрадиционных строительных конструкций из дерева и стали, развитие деревянного домостроения;</w:t>
      </w:r>
    </w:p>
    <w:p>
      <w:pPr>
        <w:pStyle w:val="0"/>
        <w:spacing w:before="200" w:lineRule="auto"/>
        <w:ind w:firstLine="540"/>
        <w:jc w:val="both"/>
      </w:pPr>
      <w:r>
        <w:rPr>
          <w:sz w:val="20"/>
        </w:rPr>
        <w:t xml:space="preserve">выход строительных услуг на рынки государств - участников стран Евразийского экономического союза, а также повышение конкурентоспособности строительных материалов и услуг на международном рынке;</w:t>
      </w:r>
    </w:p>
    <w:p>
      <w:pPr>
        <w:pStyle w:val="0"/>
        <w:spacing w:before="200" w:lineRule="auto"/>
        <w:ind w:firstLine="540"/>
        <w:jc w:val="both"/>
      </w:pPr>
      <w:r>
        <w:rPr>
          <w:sz w:val="20"/>
        </w:rPr>
        <w:t xml:space="preserve">оптимизация отдельных требований санитарно-эпидемиологических, экологических норм;</w:t>
      </w:r>
    </w:p>
    <w:p>
      <w:pPr>
        <w:pStyle w:val="0"/>
        <w:spacing w:before="200" w:lineRule="auto"/>
        <w:ind w:firstLine="540"/>
        <w:jc w:val="both"/>
      </w:pPr>
      <w:r>
        <w:rPr>
          <w:sz w:val="20"/>
        </w:rPr>
        <w:t xml:space="preserve">упрощение порядка подтверждения пригодности новой продукции и ее использования, сокращение сроков вывода на рынок новой продукции.</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пересмотр нормативной правовой базы в целях перехода от предписывающего к параметрическому методу нормирования, а также развитие альтернативных способов и механизмов обоснования соответствия проектных значений и характеристик здания или сооружения требованиям безопасности;</w:t>
      </w:r>
    </w:p>
    <w:p>
      <w:pPr>
        <w:pStyle w:val="0"/>
        <w:spacing w:before="200" w:lineRule="auto"/>
        <w:ind w:firstLine="540"/>
        <w:jc w:val="both"/>
      </w:pPr>
      <w:r>
        <w:rPr>
          <w:sz w:val="20"/>
        </w:rPr>
        <w:t xml:space="preserve">реализация реестрового принципа формирования всех обязательных нормативных технических требований в сфере строительства, создание системы управления требованиями безопасности и качества объектов капитального строительства на основе цифрового реестра требований в строительной отрасли, предоставление Министерству строительства и жилищно-коммунального хозяйства Российской Федерации полномочий по созданию и ведению такого реестра;</w:t>
      </w:r>
    </w:p>
    <w:p>
      <w:pPr>
        <w:pStyle w:val="0"/>
        <w:spacing w:before="200" w:lineRule="auto"/>
        <w:ind w:firstLine="540"/>
        <w:jc w:val="both"/>
      </w:pPr>
      <w:r>
        <w:rPr>
          <w:sz w:val="20"/>
        </w:rPr>
        <w:t xml:space="preserve">устранение излишних, противоречивых, дублирующих нормативных технических требований в строительстве, перевод нормативных технических документов в машиночитаемый и машинопонимаемый форматы;</w:t>
      </w:r>
    </w:p>
    <w:p>
      <w:pPr>
        <w:pStyle w:val="0"/>
        <w:spacing w:before="200" w:lineRule="auto"/>
        <w:ind w:firstLine="540"/>
        <w:jc w:val="both"/>
      </w:pPr>
      <w:r>
        <w:rPr>
          <w:sz w:val="20"/>
        </w:rPr>
        <w:t xml:space="preserve">регулярная актуализация нормативных технических документов, а также разработка новых нормативных технических документов с учетом необходимости применения при строительстве объектов капитального строительства передовых технологий и материалов, в том числе энергоэффективных и экологичных;</w:t>
      </w:r>
    </w:p>
    <w:p>
      <w:pPr>
        <w:pStyle w:val="0"/>
        <w:spacing w:before="200" w:lineRule="auto"/>
        <w:ind w:firstLine="540"/>
        <w:jc w:val="both"/>
      </w:pPr>
      <w:r>
        <w:rPr>
          <w:sz w:val="20"/>
        </w:rPr>
        <w:t xml:space="preserve">создание системы нормативных технических документов в сегменте модульного строительства, оптимизация системы оценки соответствия для модульных решений;</w:t>
      </w:r>
    </w:p>
    <w:p>
      <w:pPr>
        <w:pStyle w:val="0"/>
        <w:spacing w:before="200" w:lineRule="auto"/>
        <w:ind w:firstLine="540"/>
        <w:jc w:val="both"/>
      </w:pPr>
      <w:r>
        <w:rPr>
          <w:sz w:val="20"/>
        </w:rPr>
        <w:t xml:space="preserve">создание системы сводов правил в области деревянного домостроения, совершенствование технического регулирования в области строительства с применением стальных конструкций;</w:t>
      </w:r>
    </w:p>
    <w:p>
      <w:pPr>
        <w:pStyle w:val="0"/>
        <w:spacing w:before="200" w:lineRule="auto"/>
        <w:ind w:firstLine="540"/>
        <w:jc w:val="both"/>
      </w:pPr>
      <w:r>
        <w:rPr>
          <w:sz w:val="20"/>
        </w:rPr>
        <w:t xml:space="preserve">актуализация системы сводов правил для обеспечения внедрения аддитивных технологий и технологий "умный дом";</w:t>
      </w:r>
    </w:p>
    <w:p>
      <w:pPr>
        <w:pStyle w:val="0"/>
        <w:spacing w:before="200" w:lineRule="auto"/>
        <w:ind w:firstLine="540"/>
        <w:jc w:val="both"/>
      </w:pPr>
      <w:r>
        <w:rPr>
          <w:sz w:val="20"/>
        </w:rPr>
        <w:t xml:space="preserve">интеграция процессов технического нормирования и оценки соответствия на уровне Евразийского экономического союза.</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осуществлен переход на параметрический метод нормирования в проектировании и строительстве, обеспечена необходимая нормативная правовая база для развития системы технического регулирования в строительной отрасли;</w:t>
      </w:r>
    </w:p>
    <w:p>
      <w:pPr>
        <w:pStyle w:val="0"/>
        <w:spacing w:before="200" w:lineRule="auto"/>
        <w:ind w:firstLine="540"/>
        <w:jc w:val="both"/>
      </w:pPr>
      <w:r>
        <w:rPr>
          <w:sz w:val="20"/>
        </w:rPr>
        <w:t xml:space="preserve">устранены излишние, противоречивые, дублирующие требования, установлены механизмы применения добровольных требований, альтернативных способов обоснования соответствия проектных значений и характеристик здания или сооружения требованиям безопасности;</w:t>
      </w:r>
    </w:p>
    <w:p>
      <w:pPr>
        <w:pStyle w:val="0"/>
        <w:spacing w:before="200" w:lineRule="auto"/>
        <w:ind w:firstLine="540"/>
        <w:jc w:val="both"/>
      </w:pPr>
      <w:r>
        <w:rPr>
          <w:sz w:val="20"/>
        </w:rPr>
        <w:t xml:space="preserve">создана система управления требованиями безопасности объектов капитального строительства;</w:t>
      </w:r>
    </w:p>
    <w:p>
      <w:pPr>
        <w:pStyle w:val="0"/>
        <w:spacing w:before="200" w:lineRule="auto"/>
        <w:ind w:firstLine="540"/>
        <w:jc w:val="both"/>
      </w:pPr>
      <w:r>
        <w:rPr>
          <w:sz w:val="20"/>
        </w:rPr>
        <w:t xml:space="preserve">актуализированы и переведены в машиночитаемый и машинопонимаемый форматы все российские документы по стандартизации в сфере проектирования и строительства (более 3000 документов);</w:t>
      </w:r>
    </w:p>
    <w:p>
      <w:pPr>
        <w:pStyle w:val="0"/>
        <w:spacing w:before="200" w:lineRule="auto"/>
        <w:ind w:firstLine="540"/>
        <w:jc w:val="both"/>
      </w:pPr>
      <w:r>
        <w:rPr>
          <w:sz w:val="20"/>
        </w:rPr>
        <w:t xml:space="preserve">внедрено не менее 200 новых нормативных технических документов в строительстве для осуществления поэтапного отказа от использования устаревших технологий в проектировании и строительстве, внедрения современных технологий и инновационных строительных материалов;</w:t>
      </w:r>
    </w:p>
    <w:p>
      <w:pPr>
        <w:pStyle w:val="0"/>
        <w:spacing w:before="200" w:lineRule="auto"/>
        <w:ind w:firstLine="540"/>
        <w:jc w:val="both"/>
      </w:pPr>
      <w:r>
        <w:rPr>
          <w:sz w:val="20"/>
        </w:rPr>
        <w:t xml:space="preserve">принят технический регламент Евразийского экономического союза "О безопасности строительных материалов и изделий";</w:t>
      </w:r>
    </w:p>
    <w:p>
      <w:pPr>
        <w:pStyle w:val="0"/>
        <w:spacing w:before="200" w:lineRule="auto"/>
        <w:ind w:firstLine="540"/>
        <w:jc w:val="both"/>
      </w:pPr>
      <w:r>
        <w:rPr>
          <w:sz w:val="20"/>
        </w:rPr>
        <w:t xml:space="preserve">создана система национальных стандартов и сводов правил в области модульного строительства, деревянного домостроения;</w:t>
      </w:r>
    </w:p>
    <w:p>
      <w:pPr>
        <w:pStyle w:val="0"/>
        <w:spacing w:before="200" w:lineRule="auto"/>
        <w:ind w:firstLine="540"/>
        <w:jc w:val="both"/>
      </w:pPr>
      <w:r>
        <w:rPr>
          <w:sz w:val="20"/>
        </w:rPr>
        <w:t xml:space="preserve">значительно сокращен срок вывода на рынок новой продукции и упрощена процедура подтверждения пригодности строительных ресурсов.</w:t>
      </w:r>
    </w:p>
    <w:p>
      <w:pPr>
        <w:pStyle w:val="0"/>
        <w:jc w:val="both"/>
      </w:pPr>
      <w:r>
        <w:rPr>
          <w:sz w:val="20"/>
        </w:rPr>
      </w:r>
    </w:p>
    <w:p>
      <w:pPr>
        <w:pStyle w:val="2"/>
        <w:outlineLvl w:val="3"/>
        <w:jc w:val="center"/>
      </w:pPr>
      <w:r>
        <w:rPr>
          <w:sz w:val="20"/>
        </w:rPr>
        <w:t xml:space="preserve">Развитие услуг в сфере государственной регистрации прав</w:t>
      </w:r>
    </w:p>
    <w:p>
      <w:pPr>
        <w:pStyle w:val="2"/>
        <w:jc w:val="center"/>
      </w:pPr>
      <w:r>
        <w:rPr>
          <w:sz w:val="20"/>
        </w:rPr>
        <w:t xml:space="preserve">на недвижимое имущество и государственного кадастрового</w:t>
      </w:r>
    </w:p>
    <w:p>
      <w:pPr>
        <w:pStyle w:val="2"/>
        <w:jc w:val="center"/>
      </w:pPr>
      <w:r>
        <w:rPr>
          <w:sz w:val="20"/>
        </w:rPr>
        <w:t xml:space="preserve">учета недвижимого имущества</w:t>
      </w:r>
    </w:p>
    <w:p>
      <w:pPr>
        <w:pStyle w:val="0"/>
        <w:jc w:val="both"/>
      </w:pPr>
      <w:r>
        <w:rPr>
          <w:sz w:val="20"/>
        </w:rPr>
      </w:r>
    </w:p>
    <w:p>
      <w:pPr>
        <w:pStyle w:val="0"/>
        <w:ind w:firstLine="540"/>
        <w:jc w:val="both"/>
      </w:pPr>
      <w:r>
        <w:rPr>
          <w:sz w:val="20"/>
        </w:rPr>
        <w:t xml:space="preserve">Немаловажную роль в строительном цикле играют процедуры государственной регистрации прав на недвижимость и государственного кадастрового учета объекта капитального строительства.</w:t>
      </w:r>
    </w:p>
    <w:p>
      <w:pPr>
        <w:pStyle w:val="0"/>
        <w:spacing w:before="200" w:lineRule="auto"/>
        <w:ind w:firstLine="540"/>
        <w:jc w:val="both"/>
      </w:pPr>
      <w:r>
        <w:rPr>
          <w:sz w:val="20"/>
        </w:rPr>
        <w:t xml:space="preserve">Государственный кадастровый учет вновь построенного объекта капитального строительства и государственная регистрация прав на него являются завершающими этапами строительного цикла, в связи с чем важнейшим элементом этого этапа является обеспечение надлежащего качества документов, подготавливаемых для осуществления государственного кадастрового учета и регистрации прав на объект капитального строительства.</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необходимость перевода документов и процедур, связанных с государственным кадастровым учетом вновь построенного объекта капитального строительства и государственной регистрацией прав на него, в электронный вид;</w:t>
      </w:r>
    </w:p>
    <w:p>
      <w:pPr>
        <w:pStyle w:val="0"/>
        <w:spacing w:before="200" w:lineRule="auto"/>
        <w:ind w:firstLine="540"/>
        <w:jc w:val="both"/>
      </w:pPr>
      <w:r>
        <w:rPr>
          <w:sz w:val="20"/>
        </w:rPr>
        <w:t xml:space="preserve">необходимость повышения уровня прозрачности и предсказуемости действий органов, осуществляющих государственный кадастровый учет вновь построенного объекта капитального строительства и государственную регистрацию прав на него;</w:t>
      </w:r>
    </w:p>
    <w:p>
      <w:pPr>
        <w:pStyle w:val="0"/>
        <w:spacing w:before="200" w:lineRule="auto"/>
        <w:ind w:firstLine="540"/>
        <w:jc w:val="both"/>
      </w:pPr>
      <w:r>
        <w:rPr>
          <w:sz w:val="20"/>
        </w:rPr>
        <w:t xml:space="preserve">необходимость повышения качества документов, требуемых для осуществления государственного кадастрового учета вновь построенного объекта капитального строительства и государственную регистрацию прав на него.</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повышение уровня прозрачности и предсказуемости действий органов, осуществляющих государственный кадастровый учет вновь построенного объекта капитального строительства и государственную регистрацию прав на него;</w:t>
      </w:r>
    </w:p>
    <w:p>
      <w:pPr>
        <w:pStyle w:val="0"/>
        <w:spacing w:before="200" w:lineRule="auto"/>
        <w:ind w:firstLine="540"/>
        <w:jc w:val="both"/>
      </w:pPr>
      <w:r>
        <w:rPr>
          <w:sz w:val="20"/>
        </w:rPr>
        <w:t xml:space="preserve">повышение уровня цифровизации государственного кадастрового учета вновь построенного объекта капитального строительства и государственной регистрации прав на него и обеспечение условий для реализации цифровых решений таких услуг на местах;</w:t>
      </w:r>
    </w:p>
    <w:p>
      <w:pPr>
        <w:pStyle w:val="0"/>
        <w:spacing w:before="200" w:lineRule="auto"/>
        <w:ind w:firstLine="540"/>
        <w:jc w:val="both"/>
      </w:pPr>
      <w:r>
        <w:rPr>
          <w:sz w:val="20"/>
        </w:rPr>
        <w:t xml:space="preserve">совершенствование нормативно-правового регулирования кадастровой деятельности и правоприменительной практики в области государственной регистрации прав на недвижимое имущество.</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организационные меры, позволяющие реализовать принцип "Регистрация за 1 час", в том числе за счет внедрения экстерриториального принципа регистрации прав на объекты капитального строительства и создания полного электронного архива документов в отношении объектов капитального строительства;</w:t>
      </w:r>
    </w:p>
    <w:p>
      <w:pPr>
        <w:pStyle w:val="0"/>
        <w:spacing w:before="200" w:lineRule="auto"/>
        <w:ind w:firstLine="540"/>
        <w:jc w:val="both"/>
      </w:pPr>
      <w:r>
        <w:rPr>
          <w:sz w:val="20"/>
        </w:rPr>
        <w:t xml:space="preserve">развитие существующих и создание новых электронных сервисов Федеральной службы государственной регистрации, кадастра и картографии, перевод большинства ее услуг на единый портал государственных и муниципальных услуг.</w:t>
      </w:r>
    </w:p>
    <w:p>
      <w:pPr>
        <w:pStyle w:val="0"/>
        <w:spacing w:before="200" w:lineRule="auto"/>
        <w:ind w:firstLine="540"/>
        <w:jc w:val="both"/>
      </w:pPr>
      <w:r>
        <w:rPr>
          <w:sz w:val="20"/>
        </w:rPr>
        <w:t xml:space="preserve">Результатом осуществления указанных мероприятий является то, что осуществлена комплексная взаимосвязь градостроительной деятельности с процессом государственного кадастрового учета и государственной регистрации прав на недвижимое имущество.</w:t>
      </w:r>
    </w:p>
    <w:p>
      <w:pPr>
        <w:pStyle w:val="0"/>
        <w:jc w:val="both"/>
      </w:pPr>
      <w:r>
        <w:rPr>
          <w:sz w:val="20"/>
        </w:rPr>
      </w:r>
    </w:p>
    <w:p>
      <w:pPr>
        <w:pStyle w:val="2"/>
        <w:outlineLvl w:val="2"/>
        <w:jc w:val="center"/>
      </w:pPr>
      <w:r>
        <w:rPr>
          <w:sz w:val="20"/>
        </w:rPr>
        <w:t xml:space="preserve">2. Совершенствование системы управления</w:t>
      </w:r>
    </w:p>
    <w:p>
      <w:pPr>
        <w:pStyle w:val="2"/>
        <w:jc w:val="center"/>
      </w:pPr>
      <w:r>
        <w:rPr>
          <w:sz w:val="20"/>
        </w:rPr>
        <w:t xml:space="preserve">капитальными вложениями</w:t>
      </w:r>
    </w:p>
    <w:p>
      <w:pPr>
        <w:pStyle w:val="0"/>
        <w:jc w:val="both"/>
      </w:pPr>
      <w:r>
        <w:rPr>
          <w:sz w:val="20"/>
        </w:rPr>
      </w:r>
    </w:p>
    <w:p>
      <w:pPr>
        <w:pStyle w:val="0"/>
        <w:ind w:firstLine="540"/>
        <w:jc w:val="both"/>
      </w:pPr>
      <w:r>
        <w:rPr>
          <w:sz w:val="20"/>
        </w:rPr>
        <w:t xml:space="preserve">Ежегодный объем капитальных вложений в объекты государственной и муниципальной собственности составляет около 3,5 трлн. рублей, из них около 1 трлн. рублей - инвестиции в объекты федеральной собственности. При этом указанных средств недостаточно для финансового обеспечения в полном объеме строительства новых объектов капитального строительства.</w:t>
      </w:r>
    </w:p>
    <w:p>
      <w:pPr>
        <w:pStyle w:val="0"/>
        <w:spacing w:before="200" w:lineRule="auto"/>
        <w:ind w:firstLine="540"/>
        <w:jc w:val="both"/>
      </w:pPr>
      <w:r>
        <w:rPr>
          <w:sz w:val="20"/>
        </w:rPr>
        <w:t xml:space="preserve">За последние годы наблюдается рекордно низкий объем ввода в эксплуатацию объектов капитального строительства, включенных в федеральную адресную инвестиционную программу. В то же время объем незавершенных объектов капитального строительства продолжает расти. По состоянию на 1 января 2022 г. сумма вложений в незавершенные объекты капитального строительства оценивается в 5 трлн. рублей.</w:t>
      </w:r>
    </w:p>
    <w:p>
      <w:pPr>
        <w:pStyle w:val="0"/>
        <w:spacing w:before="200" w:lineRule="auto"/>
        <w:ind w:firstLine="540"/>
        <w:jc w:val="both"/>
      </w:pPr>
      <w:r>
        <w:rPr>
          <w:sz w:val="20"/>
        </w:rPr>
        <w:t xml:space="preserve">В целях исправления сложившейся ситуации введена практика опережающего финансирования и гибкого перераспределения бюджетных средств, направленная на скорейшую достройку приоритетных объектов капитального строительства, сокращение количества незавершенных объектов капитального строительства.</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ежегодный дефицит и неравномерность финансирования строительства объектов капитального строительства, усложняющие достижение результатов, установленных документами стратегического планирования Российской Федерации;</w:t>
      </w:r>
    </w:p>
    <w:p>
      <w:pPr>
        <w:pStyle w:val="0"/>
        <w:spacing w:before="200" w:lineRule="auto"/>
        <w:ind w:firstLine="540"/>
        <w:jc w:val="both"/>
      </w:pPr>
      <w:r>
        <w:rPr>
          <w:sz w:val="20"/>
        </w:rPr>
        <w:t xml:space="preserve">разбалансированность федеральной адресной инвестиционной программы, принятие решений о строительстве новых объектов до окончания строительства ранее начатых и приоритетных объектов капитального строительства;</w:t>
      </w:r>
    </w:p>
    <w:p>
      <w:pPr>
        <w:pStyle w:val="0"/>
        <w:spacing w:before="200" w:lineRule="auto"/>
        <w:ind w:firstLine="540"/>
        <w:jc w:val="both"/>
      </w:pPr>
      <w:r>
        <w:rPr>
          <w:sz w:val="20"/>
        </w:rPr>
        <w:t xml:space="preserve">отсутствие единого порядка по управлению капитальными вложениями, обеспечивающего реализацию простого и понятного механизма управления капитальными вложениями.</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оптимизация процедур (в том числе с исключением избыточных) принятия решений об осуществлении капитальных вложений и включения объектов капитального строительства в федеральную адресную инвестиционную программу;</w:t>
      </w:r>
    </w:p>
    <w:p>
      <w:pPr>
        <w:pStyle w:val="0"/>
        <w:spacing w:before="200" w:lineRule="auto"/>
        <w:ind w:firstLine="540"/>
        <w:jc w:val="both"/>
      </w:pPr>
      <w:r>
        <w:rPr>
          <w:sz w:val="20"/>
        </w:rPr>
        <w:t xml:space="preserve">упрощение порядка согласования перечня объектов, строительство, реконструкция которых осуществляются за счет средств федерального бюджета, сокращение сроков и исключение излишних согласований;</w:t>
      </w:r>
    </w:p>
    <w:p>
      <w:pPr>
        <w:pStyle w:val="0"/>
        <w:spacing w:before="200" w:lineRule="auto"/>
        <w:ind w:firstLine="540"/>
        <w:jc w:val="both"/>
      </w:pPr>
      <w:r>
        <w:rPr>
          <w:sz w:val="20"/>
        </w:rPr>
        <w:t xml:space="preserve">увеличение объемов строительства объектов современной инфраструктуры, необходимой для формирования комфортной и безопасной среды для проживания граждан.</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пересмотр нормативной правовой базы в целях сокращения инвестиционно-строительного цикла и повышения эффективности управления капитальными вложениями;</w:t>
      </w:r>
    </w:p>
    <w:p>
      <w:pPr>
        <w:pStyle w:val="0"/>
        <w:spacing w:before="200" w:lineRule="auto"/>
        <w:ind w:firstLine="540"/>
        <w:jc w:val="both"/>
      </w:pPr>
      <w:r>
        <w:rPr>
          <w:sz w:val="20"/>
        </w:rPr>
        <w:t xml:space="preserve">переход к среднесрочному планированию капитальных вложений, осуществляемых с привлечением средств федерального бюджета, на основании комплексной государственной </w:t>
      </w:r>
      <w:r>
        <w:rPr>
          <w:sz w:val="20"/>
        </w:rPr>
        <w:t xml:space="preserve">программы</w:t>
      </w:r>
      <w:r>
        <w:rPr>
          <w:sz w:val="20"/>
        </w:rPr>
        <w:t xml:space="preserve"> Российской Федерации "Строительство";</w:t>
      </w:r>
    </w:p>
    <w:p>
      <w:pPr>
        <w:pStyle w:val="0"/>
        <w:spacing w:before="200" w:lineRule="auto"/>
        <w:ind w:firstLine="540"/>
        <w:jc w:val="both"/>
      </w:pPr>
      <w:r>
        <w:rPr>
          <w:sz w:val="20"/>
        </w:rPr>
        <w:t xml:space="preserve">повышение качества и сокращение сроков проектирования и экспертизы объектов капитального строительства;</w:t>
      </w:r>
    </w:p>
    <w:p>
      <w:pPr>
        <w:pStyle w:val="0"/>
        <w:spacing w:before="200" w:lineRule="auto"/>
        <w:ind w:firstLine="540"/>
        <w:jc w:val="both"/>
      </w:pPr>
      <w:r>
        <w:rPr>
          <w:sz w:val="20"/>
        </w:rPr>
        <w:t xml:space="preserve">цифровизация процедур, применяемых при управлении государственными капитальными вложениями;</w:t>
      </w:r>
    </w:p>
    <w:p>
      <w:pPr>
        <w:pStyle w:val="0"/>
        <w:spacing w:before="200" w:lineRule="auto"/>
        <w:ind w:firstLine="540"/>
        <w:jc w:val="both"/>
      </w:pPr>
      <w:r>
        <w:rPr>
          <w:sz w:val="20"/>
        </w:rPr>
        <w:t xml:space="preserve">расширение механизмов опережающего строительства и досрочного ввода объектов капитального строительства в эксплуатацию;</w:t>
      </w:r>
    </w:p>
    <w:p>
      <w:pPr>
        <w:pStyle w:val="0"/>
        <w:spacing w:before="200" w:lineRule="auto"/>
        <w:ind w:firstLine="540"/>
        <w:jc w:val="both"/>
      </w:pPr>
      <w:r>
        <w:rPr>
          <w:sz w:val="20"/>
        </w:rPr>
        <w:t xml:space="preserve">увеличение объема ввода в эксплуатацию объектов капитального строительства;</w:t>
      </w:r>
    </w:p>
    <w:p>
      <w:pPr>
        <w:pStyle w:val="0"/>
        <w:spacing w:before="200" w:lineRule="auto"/>
        <w:ind w:firstLine="540"/>
        <w:jc w:val="both"/>
      </w:pPr>
      <w:r>
        <w:rPr>
          <w:sz w:val="20"/>
        </w:rPr>
        <w:t xml:space="preserve">формирование и ведение федерального реестра незавершенных объектов капитального строительства, а также реализация мероприятий по сокращению количества таких объектов.</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сформирована нормативная правовая база, позволяющая сократить сроки и упростить процедуры планирования, финансирования и строительства объектов капитального строительства, строительство, реконструкция которых осуществляются за счет средств федерального бюджета;</w:t>
      </w:r>
    </w:p>
    <w:p>
      <w:pPr>
        <w:pStyle w:val="0"/>
        <w:spacing w:before="200" w:lineRule="auto"/>
        <w:ind w:firstLine="540"/>
        <w:jc w:val="both"/>
      </w:pPr>
      <w:r>
        <w:rPr>
          <w:sz w:val="20"/>
        </w:rPr>
        <w:t xml:space="preserve">применяемые механизмы финансирования позволяют исключить дефицит и неравномерность осуществления расходов на строительство объектов капитального строительства;</w:t>
      </w:r>
    </w:p>
    <w:p>
      <w:pPr>
        <w:pStyle w:val="0"/>
        <w:spacing w:before="200" w:lineRule="auto"/>
        <w:ind w:firstLine="540"/>
        <w:jc w:val="both"/>
      </w:pPr>
      <w:r>
        <w:rPr>
          <w:sz w:val="20"/>
        </w:rPr>
        <w:t xml:space="preserve">объем ввода в эксплуатацию объектов капитального строительства увеличен не менее чем в 1,5 раза;</w:t>
      </w:r>
    </w:p>
    <w:p>
      <w:pPr>
        <w:pStyle w:val="0"/>
        <w:spacing w:before="200" w:lineRule="auto"/>
        <w:ind w:firstLine="540"/>
        <w:jc w:val="both"/>
      </w:pPr>
      <w:r>
        <w:rPr>
          <w:sz w:val="20"/>
        </w:rPr>
        <w:t xml:space="preserve">сокращено количество незавершенных объектов капитального строительства, включенных в федеральный реестр незавершенных объектов капитального строительства.</w:t>
      </w:r>
    </w:p>
    <w:p>
      <w:pPr>
        <w:pStyle w:val="0"/>
        <w:jc w:val="both"/>
      </w:pPr>
      <w:r>
        <w:rPr>
          <w:sz w:val="20"/>
        </w:rPr>
      </w:r>
    </w:p>
    <w:p>
      <w:pPr>
        <w:pStyle w:val="2"/>
        <w:outlineLvl w:val="2"/>
        <w:jc w:val="center"/>
      </w:pPr>
      <w:r>
        <w:rPr>
          <w:sz w:val="20"/>
        </w:rPr>
        <w:t xml:space="preserve">3. Кадровое, научное и ресурсное обеспечение</w:t>
      </w:r>
    </w:p>
    <w:p>
      <w:pPr>
        <w:pStyle w:val="2"/>
        <w:jc w:val="center"/>
      </w:pPr>
      <w:r>
        <w:rPr>
          <w:sz w:val="20"/>
        </w:rPr>
        <w:t xml:space="preserve">строительной отрасли</w:t>
      </w:r>
    </w:p>
    <w:p>
      <w:pPr>
        <w:pStyle w:val="0"/>
        <w:jc w:val="center"/>
      </w:pPr>
      <w:r>
        <w:rPr>
          <w:sz w:val="20"/>
        </w:rPr>
      </w:r>
    </w:p>
    <w:p>
      <w:pPr>
        <w:pStyle w:val="2"/>
        <w:outlineLvl w:val="3"/>
        <w:jc w:val="center"/>
      </w:pPr>
      <w:r>
        <w:rPr>
          <w:sz w:val="20"/>
        </w:rPr>
        <w:t xml:space="preserve">Профессиональная трансформация</w:t>
      </w:r>
    </w:p>
    <w:p>
      <w:pPr>
        <w:pStyle w:val="0"/>
        <w:jc w:val="both"/>
      </w:pPr>
      <w:r>
        <w:rPr>
          <w:sz w:val="20"/>
        </w:rPr>
      </w:r>
    </w:p>
    <w:p>
      <w:pPr>
        <w:pStyle w:val="0"/>
        <w:ind w:firstLine="540"/>
        <w:jc w:val="both"/>
      </w:pPr>
      <w:r>
        <w:rPr>
          <w:sz w:val="20"/>
        </w:rPr>
        <w:t xml:space="preserve">По состоянию на 2021 год в строительной отрасли занято около 6,5 млн. работников более 100 профессий, квалификационная структура которых охватывает более 500 разрядов и категорий. По данным Министерства внутренних дел Российской Федерации и Федеральной службы государственной статистики, средняя доля трудовых мигрантов в среднегодовой численности занятых в строительной отрасли в 2019 - 2020 годах составила 10,2 процента (640 тыс. человек), в 2021 году - 12,3 процента (800 тыс. человек).</w:t>
      </w:r>
    </w:p>
    <w:p>
      <w:pPr>
        <w:pStyle w:val="0"/>
        <w:spacing w:before="200" w:lineRule="auto"/>
        <w:ind w:firstLine="540"/>
        <w:jc w:val="both"/>
      </w:pPr>
      <w:r>
        <w:rPr>
          <w:sz w:val="20"/>
        </w:rPr>
        <w:t xml:space="preserve">В целях достижения национальных целей развития к 2030 году в рамках профессиональной трансформации необходимо дополнительное привлечение от 0,7 млн. до 1,5 млн. работников различной квалификации. Ежегодный выпуск осуществляющих подготовку по строительным специальностям образовательных организаций высшего образования и профессиональных образовательных организаций составляет до 75 тыс. человек (из них 30 тыс. человек - по образовательным программам высшего образования). По учебным программам, одобренным Министерством строительства и жилищно-коммунального хозяйства Российской Федерации в качестве приоритетных, может быть дополнительно переподготовлено начиная с 2022 года до 40 тыс. человек в год.</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недостаточное взаимодействие между организациями реального сектора экономики и научными и образовательными организациями;</w:t>
      </w:r>
    </w:p>
    <w:p>
      <w:pPr>
        <w:pStyle w:val="0"/>
        <w:spacing w:before="200" w:lineRule="auto"/>
        <w:ind w:firstLine="540"/>
        <w:jc w:val="both"/>
      </w:pPr>
      <w:r>
        <w:rPr>
          <w:sz w:val="20"/>
        </w:rPr>
        <w:t xml:space="preserve">профессиональная и квалификационная структура трудовых ресурсов не в полной мере соответствует требованиям, предъявляемым к персоналу в контексте развития технологий строительного производства.</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приведение профессиональной и квалификационной структуры трудовых ресурсов в соответствие с запросами строительной отрасли;</w:t>
      </w:r>
    </w:p>
    <w:p>
      <w:pPr>
        <w:pStyle w:val="0"/>
        <w:spacing w:before="200" w:lineRule="auto"/>
        <w:ind w:firstLine="540"/>
        <w:jc w:val="both"/>
      </w:pPr>
      <w:r>
        <w:rPr>
          <w:sz w:val="20"/>
        </w:rPr>
        <w:t xml:space="preserve">формирование управленческого кадрового резерва строительной отрасли (для предприятий и государственных организаций строительной отрасли);</w:t>
      </w:r>
    </w:p>
    <w:p>
      <w:pPr>
        <w:pStyle w:val="0"/>
        <w:spacing w:before="200" w:lineRule="auto"/>
        <w:ind w:firstLine="540"/>
        <w:jc w:val="both"/>
      </w:pPr>
      <w:r>
        <w:rPr>
          <w:sz w:val="20"/>
        </w:rPr>
        <w:t xml:space="preserve">развитие схем и форматов подготовки кадров по программам дополнительного профессионального образования (краткосрочного обучения и переобучения, повышения квалификации и профессиональной переподготовки) с учетом перехода строительной отрасли на технологии, повышающие производительность труда, цифровые технологии и обновленных требований к инвестиционно-строительному циклу;</w:t>
      </w:r>
    </w:p>
    <w:p>
      <w:pPr>
        <w:pStyle w:val="0"/>
        <w:spacing w:before="200" w:lineRule="auto"/>
        <w:ind w:firstLine="540"/>
        <w:jc w:val="both"/>
      </w:pPr>
      <w:r>
        <w:rPr>
          <w:sz w:val="20"/>
        </w:rPr>
        <w:t xml:space="preserve">повышение престижности строительных профессий, создание условий для вовлечения молодежи в трудовую деятельность в сфере строительства;</w:t>
      </w:r>
    </w:p>
    <w:p>
      <w:pPr>
        <w:pStyle w:val="0"/>
        <w:spacing w:before="200" w:lineRule="auto"/>
        <w:ind w:firstLine="540"/>
        <w:jc w:val="both"/>
      </w:pPr>
      <w:r>
        <w:rPr>
          <w:sz w:val="20"/>
        </w:rPr>
        <w:t xml:space="preserve">совершенствование системы привлечения трудовых мигрантов для компенсации дефицита кадров в отрасли, включая организацию системного отбора трудовых мигрантов, обладающих востребованными компетенциями.</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разработка рекомендаций к профильным образовательным программам, определение списка приоритетных строительных профессий на постоянной основе;</w:t>
      </w:r>
    </w:p>
    <w:p>
      <w:pPr>
        <w:pStyle w:val="0"/>
        <w:spacing w:before="200" w:lineRule="auto"/>
        <w:ind w:firstLine="540"/>
        <w:jc w:val="both"/>
      </w:pPr>
      <w:r>
        <w:rPr>
          <w:sz w:val="20"/>
        </w:rPr>
        <w:t xml:space="preserve">синхронизация существующих инструментов государственной поддержки развития образования и кадрового обеспечения с потребностями строительной отрасли;</w:t>
      </w:r>
    </w:p>
    <w:p>
      <w:pPr>
        <w:pStyle w:val="0"/>
        <w:spacing w:before="200" w:lineRule="auto"/>
        <w:ind w:firstLine="540"/>
        <w:jc w:val="both"/>
      </w:pPr>
      <w:r>
        <w:rPr>
          <w:sz w:val="20"/>
        </w:rPr>
        <w:t xml:space="preserve">формирование плана мероприятий (дорожной карты), предусматривающего в том числе изменение образовательных программ по направлениям подготовки специалистов в сфере строительства в целях ускоренного вовлечения в производственные процессы;</w:t>
      </w:r>
    </w:p>
    <w:p>
      <w:pPr>
        <w:pStyle w:val="0"/>
        <w:spacing w:before="200" w:lineRule="auto"/>
        <w:ind w:firstLine="540"/>
        <w:jc w:val="both"/>
      </w:pPr>
      <w:r>
        <w:rPr>
          <w:sz w:val="20"/>
        </w:rPr>
        <w:t xml:space="preserve">формирование комплексной программы по ускоренному обучению кадров для строительной отрасли, выработка мер стимулирования граждан Российской Федерации к получению дополнительного профессионального образования по строительным специальностям;</w:t>
      </w:r>
    </w:p>
    <w:p>
      <w:pPr>
        <w:pStyle w:val="0"/>
        <w:spacing w:before="200" w:lineRule="auto"/>
        <w:ind w:firstLine="540"/>
        <w:jc w:val="both"/>
      </w:pPr>
      <w:r>
        <w:rPr>
          <w:sz w:val="20"/>
        </w:rPr>
        <w:t xml:space="preserve">проведение мероприятий по профессиональной переподготовке и повышению квалификации государственных заказчиков с учетом перехода отрасли на цифровые технологии;</w:t>
      </w:r>
    </w:p>
    <w:p>
      <w:pPr>
        <w:pStyle w:val="0"/>
        <w:spacing w:before="200" w:lineRule="auto"/>
        <w:ind w:firstLine="540"/>
        <w:jc w:val="both"/>
      </w:pPr>
      <w:r>
        <w:rPr>
          <w:sz w:val="20"/>
        </w:rPr>
        <w:t xml:space="preserve">ежегодный прогноз потребности в кадрах для строительной отрасли в субъектах Российской Федерации;</w:t>
      </w:r>
    </w:p>
    <w:p>
      <w:pPr>
        <w:pStyle w:val="0"/>
        <w:spacing w:before="200" w:lineRule="auto"/>
        <w:ind w:firstLine="540"/>
        <w:jc w:val="both"/>
      </w:pPr>
      <w:r>
        <w:rPr>
          <w:sz w:val="20"/>
        </w:rPr>
        <w:t xml:space="preserve">формирование кадрового центра Министерства строительства и жилищно-коммунального хозяйства Российской Федерации, создание отраслевой цифровой платформы трудовых ресурсов ("биржа труда"), развитие цифровых сервисов для работников строительной отрасли;</w:t>
      </w:r>
    </w:p>
    <w:p>
      <w:pPr>
        <w:pStyle w:val="0"/>
        <w:spacing w:before="200" w:lineRule="auto"/>
        <w:ind w:firstLine="540"/>
        <w:jc w:val="both"/>
      </w:pPr>
      <w:r>
        <w:rPr>
          <w:sz w:val="20"/>
        </w:rPr>
        <w:t xml:space="preserve">сокращение административных барьеров при привлечении иностранной рабочей силы из государств - членов Евразийского экономического союза и стран Содружества Независимых Государств;</w:t>
      </w:r>
    </w:p>
    <w:p>
      <w:pPr>
        <w:pStyle w:val="0"/>
        <w:spacing w:before="200" w:lineRule="auto"/>
        <w:ind w:firstLine="540"/>
        <w:jc w:val="both"/>
      </w:pPr>
      <w:r>
        <w:rPr>
          <w:sz w:val="20"/>
        </w:rPr>
        <w:t xml:space="preserve">внедрение стандартов, обеспечивающих современные и комфортные условия осуществления деятельности строителей, соответствующие нормативным требованиям, а также цифровых методов контроля на объектах капитального строительства.</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обеспечено соответствие профессиональной и квалификационной структуры трудовых ресурсов потребностям строительной отрасли;</w:t>
      </w:r>
    </w:p>
    <w:p>
      <w:pPr>
        <w:pStyle w:val="0"/>
        <w:spacing w:before="200" w:lineRule="auto"/>
        <w:ind w:firstLine="540"/>
        <w:jc w:val="both"/>
      </w:pPr>
      <w:r>
        <w:rPr>
          <w:sz w:val="20"/>
        </w:rPr>
        <w:t xml:space="preserve">в строительной отрасли занято до 1 млн. квалифицированных мигрантов;</w:t>
      </w:r>
    </w:p>
    <w:p>
      <w:pPr>
        <w:pStyle w:val="0"/>
        <w:spacing w:before="200" w:lineRule="auto"/>
        <w:ind w:firstLine="540"/>
        <w:jc w:val="both"/>
      </w:pPr>
      <w:r>
        <w:rPr>
          <w:sz w:val="20"/>
        </w:rPr>
        <w:t xml:space="preserve">создана отраслевая цифровая платформа трудовых ресурсов ("биржа труда"), которая отражает актуальную потребность в трудовых ресурсах по строительным организациям, осуществляющим деятельность в рамках государственного заказа;</w:t>
      </w:r>
    </w:p>
    <w:p>
      <w:pPr>
        <w:pStyle w:val="0"/>
        <w:spacing w:before="200" w:lineRule="auto"/>
        <w:ind w:firstLine="540"/>
        <w:jc w:val="both"/>
      </w:pPr>
      <w:r>
        <w:rPr>
          <w:sz w:val="20"/>
        </w:rPr>
        <w:t xml:space="preserve">обеспечена профессиональная подготовка (переподготовка) не менее 40 тыс. квалифицированных специалистов для строительной отрасли в год.</w:t>
      </w:r>
    </w:p>
    <w:p>
      <w:pPr>
        <w:pStyle w:val="0"/>
        <w:jc w:val="both"/>
      </w:pPr>
      <w:r>
        <w:rPr>
          <w:sz w:val="20"/>
        </w:rPr>
      </w:r>
    </w:p>
    <w:p>
      <w:pPr>
        <w:pStyle w:val="2"/>
        <w:outlineLvl w:val="3"/>
        <w:jc w:val="center"/>
      </w:pPr>
      <w:r>
        <w:rPr>
          <w:sz w:val="20"/>
        </w:rPr>
        <w:t xml:space="preserve">Развитие научной деятельности в строительстве</w:t>
      </w:r>
    </w:p>
    <w:p>
      <w:pPr>
        <w:pStyle w:val="0"/>
        <w:jc w:val="both"/>
      </w:pPr>
      <w:r>
        <w:rPr>
          <w:sz w:val="20"/>
        </w:rPr>
      </w:r>
    </w:p>
    <w:p>
      <w:pPr>
        <w:pStyle w:val="0"/>
        <w:ind w:firstLine="540"/>
        <w:jc w:val="both"/>
      </w:pPr>
      <w:r>
        <w:rPr>
          <w:sz w:val="20"/>
        </w:rPr>
        <w:t xml:space="preserve">В современных условиях внедрение инноваций является ключевым фактором повышения эффективности и конкурентоспособности строительной отрасли. Их разработка и внедрение невозможны без развития отечественной науки и привлечения существенных ресурсов (трудовых, финансовых, организационных).</w:t>
      </w:r>
    </w:p>
    <w:p>
      <w:pPr>
        <w:pStyle w:val="0"/>
        <w:spacing w:before="200" w:lineRule="auto"/>
        <w:ind w:firstLine="540"/>
        <w:jc w:val="both"/>
      </w:pPr>
      <w:r>
        <w:rPr>
          <w:sz w:val="20"/>
        </w:rPr>
        <w:t xml:space="preserve">Развитие отечественных технологий, их своевременное и эффективное внедрение, а также международное сотрудничество и экспорт таких технологий - условия успешного развития строительной отрасли.</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отсутствие развитой цепи "спрос - разработка - внедрение" инноваций в строительстве;</w:t>
      </w:r>
    </w:p>
    <w:p>
      <w:pPr>
        <w:pStyle w:val="0"/>
        <w:spacing w:before="200" w:lineRule="auto"/>
        <w:ind w:firstLine="540"/>
        <w:jc w:val="both"/>
      </w:pPr>
      <w:r>
        <w:rPr>
          <w:sz w:val="20"/>
        </w:rPr>
        <w:t xml:space="preserve">низкий уровень взаимодействия между научными организациями и компаниями строительной отрасли;</w:t>
      </w:r>
    </w:p>
    <w:p>
      <w:pPr>
        <w:pStyle w:val="0"/>
        <w:spacing w:before="200" w:lineRule="auto"/>
        <w:ind w:firstLine="540"/>
        <w:jc w:val="both"/>
      </w:pPr>
      <w:r>
        <w:rPr>
          <w:sz w:val="20"/>
        </w:rPr>
        <w:t xml:space="preserve">дефицит технологий в связи с внешним санкционным давлением со стороны недружественных стран.</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создание новых и развитие сформированных отраслевых научных школ на базе ведущих образовательных организаций высшего образования соответствующего профиля;</w:t>
      </w:r>
    </w:p>
    <w:p>
      <w:pPr>
        <w:pStyle w:val="0"/>
        <w:spacing w:before="200" w:lineRule="auto"/>
        <w:ind w:firstLine="540"/>
        <w:jc w:val="both"/>
      </w:pPr>
      <w:r>
        <w:rPr>
          <w:sz w:val="20"/>
        </w:rPr>
        <w:t xml:space="preserve">повышение эффективности и результативности проводимых фундаментальных, поисковых и прикладных научных исследований и разработок в области строительства, архитектуры, градостроительства, в том числе по прорывным тематикам, в соответствии с потребностями отрасли, расширение взаимодействия научных организаций с организациями реального сектора;</w:t>
      </w:r>
    </w:p>
    <w:p>
      <w:pPr>
        <w:pStyle w:val="0"/>
        <w:spacing w:before="200" w:lineRule="auto"/>
        <w:ind w:firstLine="540"/>
        <w:jc w:val="both"/>
      </w:pPr>
      <w:r>
        <w:rPr>
          <w:sz w:val="20"/>
        </w:rPr>
        <w:t xml:space="preserve">развитие международного научно-технического сотрудничества;</w:t>
      </w:r>
    </w:p>
    <w:p>
      <w:pPr>
        <w:pStyle w:val="0"/>
        <w:spacing w:before="200" w:lineRule="auto"/>
        <w:ind w:firstLine="540"/>
        <w:jc w:val="both"/>
      </w:pPr>
      <w:r>
        <w:rPr>
          <w:sz w:val="20"/>
        </w:rPr>
        <w:t xml:space="preserve">развитие системы государственных заказов на наукоемкие исследования в области строительства;</w:t>
      </w:r>
    </w:p>
    <w:p>
      <w:pPr>
        <w:pStyle w:val="0"/>
        <w:spacing w:before="200" w:lineRule="auto"/>
        <w:ind w:firstLine="540"/>
        <w:jc w:val="both"/>
      </w:pPr>
      <w:r>
        <w:rPr>
          <w:sz w:val="20"/>
        </w:rPr>
        <w:t xml:space="preserve">создание системы стимулирования вовлечения талантливой молодежи в научную деятельность в области строительства, архитектуры и градостроительства.</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долгосрочное планирование и регулярная актуализация приоритетных научных проектов, позволяющих формировать конкурентоспособные коллективы, объединяющие исследователей, разработчиков и предпринимателей;</w:t>
      </w:r>
    </w:p>
    <w:p>
      <w:pPr>
        <w:pStyle w:val="0"/>
        <w:spacing w:before="200" w:lineRule="auto"/>
        <w:ind w:firstLine="540"/>
        <w:jc w:val="both"/>
      </w:pPr>
      <w:r>
        <w:rPr>
          <w:sz w:val="20"/>
        </w:rPr>
        <w:t xml:space="preserve">формирование механизмов эффективного взаимодействия науки и реального сектора экономики в целях развития (трансфера) технологий и инноваций;</w:t>
      </w:r>
    </w:p>
    <w:p>
      <w:pPr>
        <w:pStyle w:val="0"/>
        <w:spacing w:before="200" w:lineRule="auto"/>
        <w:ind w:firstLine="540"/>
        <w:jc w:val="both"/>
      </w:pPr>
      <w:r>
        <w:rPr>
          <w:sz w:val="20"/>
        </w:rPr>
        <w:t xml:space="preserve">поддержка участия российских ученых в международных проектах;</w:t>
      </w:r>
    </w:p>
    <w:p>
      <w:pPr>
        <w:pStyle w:val="0"/>
        <w:spacing w:before="200" w:lineRule="auto"/>
        <w:ind w:firstLine="540"/>
        <w:jc w:val="both"/>
      </w:pPr>
      <w:r>
        <w:rPr>
          <w:sz w:val="20"/>
        </w:rPr>
        <w:t xml:space="preserve">оборудование отраслевых лабораторий современным научно-технологическим оборудованием и обеспечение доступности научно-исследовательской инфраструктуры для всех отечественных исследователей;</w:t>
      </w:r>
    </w:p>
    <w:p>
      <w:pPr>
        <w:pStyle w:val="0"/>
        <w:spacing w:before="200" w:lineRule="auto"/>
        <w:ind w:firstLine="540"/>
        <w:jc w:val="both"/>
      </w:pPr>
      <w:r>
        <w:rPr>
          <w:sz w:val="20"/>
        </w:rPr>
        <w:t xml:space="preserve">регулярный мониторинг проводимых фундаментальных, поисковых и прикладных научных исследований в области строительства.</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созданы условия для развития научной деятельности, направленной на обеспечение инновационного развития строительной отрасли;</w:t>
      </w:r>
    </w:p>
    <w:p>
      <w:pPr>
        <w:pStyle w:val="0"/>
        <w:spacing w:before="200" w:lineRule="auto"/>
        <w:ind w:firstLine="540"/>
        <w:jc w:val="both"/>
      </w:pPr>
      <w:r>
        <w:rPr>
          <w:sz w:val="20"/>
        </w:rPr>
        <w:t xml:space="preserve">обеспечены условия для оперативного внедрения инноваций, а также для замещения устаревших технологий проектирования и строительства новыми технологиями и решениями отечественной разработки.</w:t>
      </w:r>
    </w:p>
    <w:p>
      <w:pPr>
        <w:pStyle w:val="0"/>
        <w:jc w:val="both"/>
      </w:pPr>
      <w:r>
        <w:rPr>
          <w:sz w:val="20"/>
        </w:rPr>
      </w:r>
    </w:p>
    <w:p>
      <w:pPr>
        <w:pStyle w:val="2"/>
        <w:outlineLvl w:val="3"/>
        <w:jc w:val="center"/>
      </w:pPr>
      <w:r>
        <w:rPr>
          <w:sz w:val="20"/>
        </w:rPr>
        <w:t xml:space="preserve">Совершенствование системы ценообразования в строительстве</w:t>
      </w:r>
    </w:p>
    <w:p>
      <w:pPr>
        <w:pStyle w:val="0"/>
        <w:jc w:val="both"/>
      </w:pPr>
      <w:r>
        <w:rPr>
          <w:sz w:val="20"/>
        </w:rPr>
      </w:r>
    </w:p>
    <w:p>
      <w:pPr>
        <w:pStyle w:val="0"/>
        <w:ind w:firstLine="540"/>
        <w:jc w:val="both"/>
      </w:pPr>
      <w:r>
        <w:rPr>
          <w:sz w:val="20"/>
        </w:rPr>
        <w:t xml:space="preserve">Задача совершенствования системы ценообразования в строительной отрасли реализуется с 2016 года. Законодательно закреплены единые принципы в области ценообразования в строительной сфере. Создана и развивается федеральная государственная информационная система ценообразования в строительстве.</w:t>
      </w:r>
    </w:p>
    <w:p>
      <w:pPr>
        <w:pStyle w:val="0"/>
        <w:spacing w:before="200" w:lineRule="auto"/>
        <w:ind w:firstLine="540"/>
        <w:jc w:val="both"/>
      </w:pPr>
      <w:r>
        <w:rPr>
          <w:sz w:val="20"/>
        </w:rPr>
        <w:t xml:space="preserve">Вызовом является недостоверное определение начальной (максимальной) цены контракта, предметом которого являются строительство, реконструкция объектов капитального строительства, которое зачастую приводит к срыву сроков реализации инвестиционных проектов и банкротствам подрядных организаций. Необходимо обеспечить повышение точности определения стоимости строительства и переход от базисно-индексного метода к ресурсному методу определения сметной стоимости строительства.</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создание механизмов определения начальной (максимальной) цены контракта, предметом которого являются строительство, реконструкция объектов капитального строительства, соответствующей фактическим рыночным условиям;</w:t>
      </w:r>
    </w:p>
    <w:p>
      <w:pPr>
        <w:pStyle w:val="0"/>
        <w:spacing w:before="200" w:lineRule="auto"/>
        <w:ind w:firstLine="540"/>
        <w:jc w:val="both"/>
      </w:pPr>
      <w:r>
        <w:rPr>
          <w:sz w:val="20"/>
        </w:rPr>
        <w:t xml:space="preserve">создание единой цифровой платформы системы ценообразования в строительстве на базе федеральной государственной информационной системы ценообразования в строительстве, позволяющей формировать стоимость строительства в автоматизированном режиме, на основании достоверных данных о стоимости всех строительных ресурсов;</w:t>
      </w:r>
    </w:p>
    <w:p>
      <w:pPr>
        <w:pStyle w:val="0"/>
        <w:spacing w:before="200" w:lineRule="auto"/>
        <w:ind w:firstLine="540"/>
        <w:jc w:val="both"/>
      </w:pPr>
      <w:r>
        <w:rPr>
          <w:sz w:val="20"/>
        </w:rPr>
        <w:t xml:space="preserve">формирование системы контроля за ценами на строительные ресурсы и формирование оперативного реагирования на изменения цен.</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совершенствование базы сметных нормативов в строительстве путем актуализации действующих и разработки новых норм, учитывающих необходимость применения при строительстве современных материалов и технологий, а также необходимость повышения производительности труда;</w:t>
      </w:r>
    </w:p>
    <w:p>
      <w:pPr>
        <w:pStyle w:val="0"/>
        <w:spacing w:before="200" w:lineRule="auto"/>
        <w:ind w:firstLine="540"/>
        <w:jc w:val="both"/>
      </w:pPr>
      <w:r>
        <w:rPr>
          <w:sz w:val="20"/>
        </w:rPr>
        <w:t xml:space="preserve">проведение анализа объемов потребности в строительных материалах крупнейших застройщиков и объемов производства соответствующих строительных ресурсов, их транспортной доступности;</w:t>
      </w:r>
    </w:p>
    <w:p>
      <w:pPr>
        <w:pStyle w:val="0"/>
        <w:spacing w:before="200" w:lineRule="auto"/>
        <w:ind w:firstLine="540"/>
        <w:jc w:val="both"/>
      </w:pPr>
      <w:r>
        <w:rPr>
          <w:sz w:val="20"/>
        </w:rPr>
        <w:t xml:space="preserve">создание механизмов мониторинга цен на строительные ресурсы с учетом максимального количества источников информации в автоматизированном режиме;</w:t>
      </w:r>
    </w:p>
    <w:p>
      <w:pPr>
        <w:pStyle w:val="0"/>
        <w:spacing w:before="200" w:lineRule="auto"/>
        <w:ind w:firstLine="540"/>
        <w:jc w:val="both"/>
      </w:pPr>
      <w:r>
        <w:rPr>
          <w:sz w:val="20"/>
        </w:rPr>
        <w:t xml:space="preserve">создание специализированной торговой площадки по заключению сделок по приобретению строительных ресурсов подрядными организациями, интегрированной с федеральной государственной информационной системой ценообразования в строительстве, на основе классификатора строительных ресурсов и программного модуля интеграции существующих торговых площадок с федеральной государственной информационной системой ценообразования в строительстве для получения информации о цене фактических сделок купли-продажи строительных ресурсов, за исключением случаев заключения контрактов в соответствии с Федеральным </w:t>
      </w:r>
      <w:r>
        <w:rPr>
          <w:sz w:val="20"/>
        </w:rPr>
        <w:t xml:space="preserve">законом</w:t>
      </w:r>
      <w:r>
        <w:rPr>
          <w:sz w:val="20"/>
        </w:rPr>
        <w:t xml:space="preserve">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создание механизмов учета в стоимости строительства реальной заработной платы строителей;</w:t>
      </w:r>
    </w:p>
    <w:p>
      <w:pPr>
        <w:pStyle w:val="0"/>
        <w:spacing w:before="200" w:lineRule="auto"/>
        <w:ind w:firstLine="540"/>
        <w:jc w:val="both"/>
      </w:pPr>
      <w:r>
        <w:rPr>
          <w:sz w:val="20"/>
        </w:rPr>
        <w:t xml:space="preserve">переход на ресурсно-индексный метод определения сметной стоимости строительства с использованием текущих цен строительных ресурсов из федеральной государственной информационной системы ценообразования в строительстве и индексов к группам однородных строительных ресурсов с последующим переходом на ресурсный метод.</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создана единая цифровая платформа системы ценообразования в строительстве на базе федеральной государственной информационной системы ценообразования в строительстве, интегрированная с другими информационными системами и электронными торговыми площадками, обеспечивающая возможность формирования достоверной сметной стоимости на основании рыночных цен строительных ресурсов, актуальных сметных норм, учитывающих современные технологии и материалы, в автоматизированном режиме;</w:t>
      </w:r>
    </w:p>
    <w:p>
      <w:pPr>
        <w:pStyle w:val="0"/>
        <w:spacing w:before="200" w:lineRule="auto"/>
        <w:ind w:firstLine="540"/>
        <w:jc w:val="both"/>
      </w:pPr>
      <w:r>
        <w:rPr>
          <w:sz w:val="20"/>
        </w:rPr>
        <w:t xml:space="preserve">осуществлен переход к ресурсному методу определения сметной стоимости строительства;</w:t>
      </w:r>
    </w:p>
    <w:p>
      <w:pPr>
        <w:pStyle w:val="0"/>
        <w:spacing w:before="200" w:lineRule="auto"/>
        <w:ind w:firstLine="540"/>
        <w:jc w:val="both"/>
      </w:pPr>
      <w:r>
        <w:rPr>
          <w:sz w:val="20"/>
        </w:rPr>
        <w:t xml:space="preserve">созданы инструменты прогнозирования роста цен на строительные ресурсы и приняты меры оперативного реагирования на изменения цен;</w:t>
      </w:r>
    </w:p>
    <w:p>
      <w:pPr>
        <w:pStyle w:val="0"/>
        <w:spacing w:before="200" w:lineRule="auto"/>
        <w:ind w:firstLine="540"/>
        <w:jc w:val="both"/>
      </w:pPr>
      <w:r>
        <w:rPr>
          <w:sz w:val="20"/>
        </w:rPr>
        <w:t xml:space="preserve">обеспечено соответствие сметной стоимости строительства рыночным условиям;</w:t>
      </w:r>
    </w:p>
    <w:p>
      <w:pPr>
        <w:pStyle w:val="0"/>
        <w:spacing w:before="200" w:lineRule="auto"/>
        <w:ind w:firstLine="540"/>
        <w:jc w:val="both"/>
      </w:pPr>
      <w:r>
        <w:rPr>
          <w:sz w:val="20"/>
        </w:rPr>
        <w:t xml:space="preserve">сокращено количество срывов конкурсных процедур, нереализованных проектов и банкротств подрядных организаций;</w:t>
      </w:r>
    </w:p>
    <w:p>
      <w:pPr>
        <w:pStyle w:val="0"/>
        <w:spacing w:before="200" w:lineRule="auto"/>
        <w:ind w:firstLine="540"/>
        <w:jc w:val="both"/>
      </w:pPr>
      <w:r>
        <w:rPr>
          <w:sz w:val="20"/>
        </w:rPr>
        <w:t xml:space="preserve">усовершенствован порядок применения укрупненных нормативов цены строительства и расширение их номенклатуры.</w:t>
      </w:r>
    </w:p>
    <w:p>
      <w:pPr>
        <w:pStyle w:val="0"/>
        <w:jc w:val="both"/>
      </w:pPr>
      <w:r>
        <w:rPr>
          <w:sz w:val="20"/>
        </w:rPr>
      </w:r>
    </w:p>
    <w:p>
      <w:pPr>
        <w:pStyle w:val="2"/>
        <w:outlineLvl w:val="2"/>
        <w:jc w:val="center"/>
      </w:pPr>
      <w:r>
        <w:rPr>
          <w:sz w:val="20"/>
        </w:rPr>
        <w:t xml:space="preserve">4. Совершенствование контрольной (надзорной)</w:t>
      </w:r>
    </w:p>
    <w:p>
      <w:pPr>
        <w:pStyle w:val="2"/>
        <w:jc w:val="center"/>
      </w:pPr>
      <w:r>
        <w:rPr>
          <w:sz w:val="20"/>
        </w:rPr>
        <w:t xml:space="preserve">деятельности в строительстве, развитие института экспертизы</w:t>
      </w:r>
    </w:p>
    <w:p>
      <w:pPr>
        <w:pStyle w:val="2"/>
        <w:jc w:val="center"/>
      </w:pPr>
      <w:r>
        <w:rPr>
          <w:sz w:val="20"/>
        </w:rPr>
        <w:t xml:space="preserve">проектной документации</w:t>
      </w:r>
    </w:p>
    <w:p>
      <w:pPr>
        <w:pStyle w:val="0"/>
        <w:jc w:val="both"/>
      </w:pPr>
      <w:r>
        <w:rPr>
          <w:sz w:val="20"/>
        </w:rPr>
      </w:r>
    </w:p>
    <w:p>
      <w:pPr>
        <w:pStyle w:val="2"/>
        <w:outlineLvl w:val="3"/>
        <w:jc w:val="center"/>
      </w:pPr>
      <w:r>
        <w:rPr>
          <w:sz w:val="20"/>
        </w:rPr>
        <w:t xml:space="preserve">Строительный контроль и государственный строительный надзор</w:t>
      </w:r>
    </w:p>
    <w:p>
      <w:pPr>
        <w:pStyle w:val="0"/>
        <w:jc w:val="both"/>
      </w:pPr>
      <w:r>
        <w:rPr>
          <w:sz w:val="20"/>
        </w:rPr>
      </w:r>
    </w:p>
    <w:p>
      <w:pPr>
        <w:pStyle w:val="0"/>
        <w:ind w:firstLine="540"/>
        <w:jc w:val="both"/>
      </w:pPr>
      <w:r>
        <w:rPr>
          <w:sz w:val="20"/>
        </w:rPr>
        <w:t xml:space="preserve">Институт государственного строительного надзора представляет собой один из элементов обеспечения безопасности строительства.</w:t>
      </w:r>
    </w:p>
    <w:p>
      <w:pPr>
        <w:pStyle w:val="0"/>
        <w:spacing w:before="200" w:lineRule="auto"/>
        <w:ind w:firstLine="540"/>
        <w:jc w:val="both"/>
      </w:pPr>
      <w:r>
        <w:rPr>
          <w:sz w:val="20"/>
        </w:rPr>
        <w:t xml:space="preserve">Согласно статистике за 2017 - 2019 годы произошло 77 аварий и обрушений в процессе строительства, при этом из 10 крупных аварий 5 аварий произошли из-за отступления от проектной документации, 3 аварии - из-за применения некачественных материалов, 1 авария - из-за неправильной установки оборудования, то есть при строительстве, реконструкции 9 объектов капитального строительства некачественно был проведен строительный контроль.</w:t>
      </w:r>
    </w:p>
    <w:p>
      <w:pPr>
        <w:pStyle w:val="0"/>
        <w:spacing w:before="200" w:lineRule="auto"/>
        <w:ind w:firstLine="540"/>
        <w:jc w:val="both"/>
      </w:pPr>
      <w:r>
        <w:rPr>
          <w:sz w:val="20"/>
        </w:rPr>
        <w:t xml:space="preserve">В связи с этим при строительстве, реконструкции, капитальном ремонте отдельных объектов капитального строительства с привлечением средств федерального бюджета строительный контроль проводится специализированными федеральными учреждениями.</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высокая степень участия надзорных органов в реализации проектов строительства;</w:t>
      </w:r>
    </w:p>
    <w:p>
      <w:pPr>
        <w:pStyle w:val="0"/>
        <w:spacing w:before="200" w:lineRule="auto"/>
        <w:ind w:firstLine="540"/>
        <w:jc w:val="both"/>
      </w:pPr>
      <w:r>
        <w:rPr>
          <w:sz w:val="20"/>
        </w:rPr>
        <w:t xml:space="preserve">в подавляющем большинстве низкое качество проведения строительного контроля, в том числе в связи с отсутствием четких требований к лицам, проводящим строительный контроль, и их размытой ответственностью;</w:t>
      </w:r>
    </w:p>
    <w:p>
      <w:pPr>
        <w:pStyle w:val="0"/>
        <w:spacing w:before="200" w:lineRule="auto"/>
        <w:ind w:firstLine="540"/>
        <w:jc w:val="both"/>
      </w:pPr>
      <w:r>
        <w:rPr>
          <w:sz w:val="20"/>
        </w:rPr>
        <w:t xml:space="preserve">предмет государственного строительного надзора и предмет строительного контроля дублируют друг друга, при этом государственный строительный надзор в отличие от строительного контроля не может обеспечить постоянное наблюдение за ходом строительства, реконструкции объектов капитального строительства;</w:t>
      </w:r>
    </w:p>
    <w:p>
      <w:pPr>
        <w:pStyle w:val="0"/>
        <w:spacing w:before="200" w:lineRule="auto"/>
        <w:ind w:firstLine="540"/>
        <w:jc w:val="both"/>
      </w:pPr>
      <w:r>
        <w:rPr>
          <w:sz w:val="20"/>
        </w:rPr>
        <w:t xml:space="preserve">отсутствие оперативного взаимодействия органов государственного строительного надзора с контролируемыми лицами.</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снижение административной нагрузки на застройщиков;</w:t>
      </w:r>
    </w:p>
    <w:p>
      <w:pPr>
        <w:pStyle w:val="0"/>
        <w:spacing w:before="200" w:lineRule="auto"/>
        <w:ind w:firstLine="540"/>
        <w:jc w:val="both"/>
      </w:pPr>
      <w:r>
        <w:rPr>
          <w:sz w:val="20"/>
        </w:rPr>
        <w:t xml:space="preserve">повышение качества и установление ответственности строительного контроля;</w:t>
      </w:r>
    </w:p>
    <w:p>
      <w:pPr>
        <w:pStyle w:val="0"/>
        <w:spacing w:before="200" w:lineRule="auto"/>
        <w:ind w:firstLine="540"/>
        <w:jc w:val="both"/>
      </w:pPr>
      <w:r>
        <w:rPr>
          <w:sz w:val="20"/>
        </w:rPr>
        <w:t xml:space="preserve">построение вертикали органов государственного строительного надзора;</w:t>
      </w:r>
    </w:p>
    <w:p>
      <w:pPr>
        <w:pStyle w:val="0"/>
        <w:spacing w:before="200" w:lineRule="auto"/>
        <w:ind w:firstLine="540"/>
        <w:jc w:val="both"/>
      </w:pPr>
      <w:r>
        <w:rPr>
          <w:sz w:val="20"/>
        </w:rPr>
        <w:t xml:space="preserve">цифровизация государственного строительного надзора и строительного контроля.</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уточнение предмета государственного строительного надзора, установление единых требований к организации и проведению надзорных мероприятий, оптимизация процедур надзора;</w:t>
      </w:r>
    </w:p>
    <w:p>
      <w:pPr>
        <w:pStyle w:val="0"/>
        <w:spacing w:before="200" w:lineRule="auto"/>
        <w:ind w:firstLine="540"/>
        <w:jc w:val="both"/>
      </w:pPr>
      <w:r>
        <w:rPr>
          <w:sz w:val="20"/>
        </w:rPr>
        <w:t xml:space="preserve">сокращение количества объектов капитального строительства, в отношении которых проводится экспертиза проектной документации и осуществляется государственный строительный надзор;</w:t>
      </w:r>
    </w:p>
    <w:p>
      <w:pPr>
        <w:pStyle w:val="0"/>
        <w:spacing w:before="200" w:lineRule="auto"/>
        <w:ind w:firstLine="540"/>
        <w:jc w:val="both"/>
      </w:pPr>
      <w:r>
        <w:rPr>
          <w:sz w:val="20"/>
        </w:rPr>
        <w:t xml:space="preserve">формирование эффективного механизма соразмерной ответственности организаций, оказывающих услуги строительного контроля по договору с застройщиками (техническими заказчиками);</w:t>
      </w:r>
    </w:p>
    <w:p>
      <w:pPr>
        <w:pStyle w:val="0"/>
        <w:spacing w:before="200" w:lineRule="auto"/>
        <w:ind w:firstLine="540"/>
        <w:jc w:val="both"/>
      </w:pPr>
      <w:r>
        <w:rPr>
          <w:sz w:val="20"/>
        </w:rPr>
        <w:t xml:space="preserve">в пилотном режиме введение аттестации лиц, проводящих строительный контроль, с одновременным исключением проведения контрольных (надзорных) мероприятий в соответствии с программой проверок и корректировкой предмета государственного строительного надзора в части исключения проверки работ, строительных материалов и результатов работ на предмет соответствия требованиям проектной документации (с проработкой возможности введения общесистемного регулирования). При этом в отношении особо опасных, технически сложных и уникальных объектов сохраняется действующая модель осуществления государственного строительного надзора;</w:t>
      </w:r>
    </w:p>
    <w:p>
      <w:pPr>
        <w:pStyle w:val="0"/>
        <w:spacing w:before="200" w:lineRule="auto"/>
        <w:ind w:firstLine="540"/>
        <w:jc w:val="both"/>
      </w:pPr>
      <w:r>
        <w:rPr>
          <w:sz w:val="20"/>
        </w:rPr>
        <w:t xml:space="preserve">создание системы специализированных учреждений для проведения строительного контроля при строительстве, реконструкции объектов капитального строительства с привлечением средств бюджетов бюджетной системы различного уровня;</w:t>
      </w:r>
    </w:p>
    <w:p>
      <w:pPr>
        <w:pStyle w:val="0"/>
        <w:spacing w:before="200" w:lineRule="auto"/>
        <w:ind w:firstLine="540"/>
        <w:jc w:val="both"/>
      </w:pPr>
      <w:r>
        <w:rPr>
          <w:sz w:val="20"/>
        </w:rPr>
        <w:t xml:space="preserve">создание условий для взаимодействия всех контролируемых лиц и органов государственного строительного надзора посредством единого информационного пространства строительного надзора.</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снижена административная нагрузка на застройщиков при сохранении уровня безопасности строящегося, реконструируемого объекта капитального строительства;</w:t>
      </w:r>
    </w:p>
    <w:p>
      <w:pPr>
        <w:pStyle w:val="0"/>
        <w:spacing w:before="200" w:lineRule="auto"/>
        <w:ind w:firstLine="540"/>
        <w:jc w:val="both"/>
      </w:pPr>
      <w:r>
        <w:rPr>
          <w:sz w:val="20"/>
        </w:rPr>
        <w:t xml:space="preserve">сокращено количество объектов, в отношении которых проводится государственный строительный надзор;</w:t>
      </w:r>
    </w:p>
    <w:p>
      <w:pPr>
        <w:pStyle w:val="0"/>
        <w:spacing w:before="200" w:lineRule="auto"/>
        <w:ind w:firstLine="540"/>
        <w:jc w:val="both"/>
      </w:pPr>
      <w:r>
        <w:rPr>
          <w:sz w:val="20"/>
        </w:rPr>
        <w:t xml:space="preserve">установлены требования к лицам, проводящим строительный контроль, в рамках предлагаемой аттестации в целях реализации пилотного проекта, а также их ответственность;</w:t>
      </w:r>
    </w:p>
    <w:p>
      <w:pPr>
        <w:pStyle w:val="0"/>
        <w:spacing w:before="200" w:lineRule="auto"/>
        <w:ind w:firstLine="540"/>
        <w:jc w:val="both"/>
      </w:pPr>
      <w:r>
        <w:rPr>
          <w:sz w:val="20"/>
        </w:rPr>
        <w:t xml:space="preserve">обеспечена возможность обмена документов при осуществлении государственного строительного надзора в электронном виде.</w:t>
      </w:r>
    </w:p>
    <w:p>
      <w:pPr>
        <w:pStyle w:val="0"/>
        <w:jc w:val="both"/>
      </w:pPr>
      <w:r>
        <w:rPr>
          <w:sz w:val="20"/>
        </w:rPr>
      </w:r>
    </w:p>
    <w:p>
      <w:pPr>
        <w:pStyle w:val="2"/>
        <w:outlineLvl w:val="3"/>
        <w:jc w:val="center"/>
      </w:pPr>
      <w:r>
        <w:rPr>
          <w:sz w:val="20"/>
        </w:rPr>
        <w:t xml:space="preserve">Совершенствование института саморегулирования</w:t>
      </w:r>
    </w:p>
    <w:p>
      <w:pPr>
        <w:pStyle w:val="2"/>
        <w:jc w:val="center"/>
      </w:pPr>
      <w:r>
        <w:rPr>
          <w:sz w:val="20"/>
        </w:rPr>
        <w:t xml:space="preserve">в строительной отрасли</w:t>
      </w:r>
    </w:p>
    <w:p>
      <w:pPr>
        <w:pStyle w:val="0"/>
        <w:jc w:val="both"/>
      </w:pPr>
      <w:r>
        <w:rPr>
          <w:sz w:val="20"/>
        </w:rPr>
      </w:r>
    </w:p>
    <w:p>
      <w:pPr>
        <w:pStyle w:val="0"/>
        <w:ind w:firstLine="540"/>
        <w:jc w:val="both"/>
      </w:pPr>
      <w:r>
        <w:rPr>
          <w:sz w:val="20"/>
        </w:rPr>
        <w:t xml:space="preserve">Институт саморегулирования является эффективным способом снижения прямого государственного регулирования и сокращения административных барьеров.</w:t>
      </w:r>
    </w:p>
    <w:p>
      <w:pPr>
        <w:pStyle w:val="0"/>
        <w:spacing w:before="200" w:lineRule="auto"/>
        <w:ind w:firstLine="540"/>
        <w:jc w:val="both"/>
      </w:pPr>
      <w:r>
        <w:rPr>
          <w:sz w:val="20"/>
        </w:rPr>
        <w:t xml:space="preserve">Основным содержанием деятельности саморегулируемых организаций является обеспечение допуска на рынок только квалифицированных подрядчиков путем разработки и утверждения стандартов и правил предпринимательской деятельности, а также в дополнение к государственному надзору - контроль за соблюдением обязательных требований.</w:t>
      </w:r>
    </w:p>
    <w:p>
      <w:pPr>
        <w:pStyle w:val="0"/>
        <w:spacing w:before="200" w:lineRule="auto"/>
        <w:ind w:firstLine="540"/>
        <w:jc w:val="both"/>
      </w:pPr>
      <w:r>
        <w:rPr>
          <w:sz w:val="20"/>
        </w:rPr>
        <w:t xml:space="preserve">При этом саморегулируемыми организациями формируются компенсационный фонд возмещения вреда и компенсационный фонд обеспечения договорных обязательств, средствами которых они отвечают по обязательствам своих членов, возникшим вследствие причинения вреда потребителям работ, услуг.</w:t>
      </w:r>
    </w:p>
    <w:p>
      <w:pPr>
        <w:pStyle w:val="0"/>
        <w:spacing w:before="200" w:lineRule="auto"/>
        <w:ind w:firstLine="540"/>
        <w:jc w:val="both"/>
      </w:pPr>
      <w:r>
        <w:rPr>
          <w:sz w:val="20"/>
        </w:rPr>
        <w:t xml:space="preserve">В целях повышения качества подрядных работ и предупреждения причинения вреда потребителям работ, услуг введен институт национальных реестров специалистов, устанавливающий квалификационные требования к работникам членов саморегулируемых организаций (главным инженерам проектов, главным архитекторам проектов), ответственным за качество работ, их должностные обязанности, а также их персональную ответственность за принимаемые решения, обеспечивающие безопасность в строительстве.</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низкая эффективность реализации функций саморегулируемых организаций по допуску подрядчиков на профессиональный рынок, низкая информационная открытость деятельности саморегулируемых организаций;</w:t>
      </w:r>
    </w:p>
    <w:p>
      <w:pPr>
        <w:pStyle w:val="0"/>
        <w:spacing w:before="200" w:lineRule="auto"/>
        <w:ind w:firstLine="540"/>
        <w:jc w:val="both"/>
      </w:pPr>
      <w:r>
        <w:rPr>
          <w:sz w:val="20"/>
        </w:rPr>
        <w:t xml:space="preserve">необходимость перехода к системной контрольной деятельности саморегулируемых организаций и рейтинговой оценке деятельности членов саморегулируемых организаций, обеспечивающих минимизацию рисков выплат из средств компенсационных фондов саморегулируемых организаций;</w:t>
      </w:r>
    </w:p>
    <w:p>
      <w:pPr>
        <w:pStyle w:val="0"/>
        <w:spacing w:before="200" w:lineRule="auto"/>
        <w:ind w:firstLine="540"/>
        <w:jc w:val="both"/>
      </w:pPr>
      <w:r>
        <w:rPr>
          <w:sz w:val="20"/>
        </w:rPr>
        <w:t xml:space="preserve">необходимость повышения качества подрядных работ, услуг и обеспечения безопасности строительства объектов капитального строительства.</w:t>
      </w:r>
    </w:p>
    <w:p>
      <w:pPr>
        <w:pStyle w:val="0"/>
        <w:spacing w:before="200" w:lineRule="auto"/>
        <w:ind w:firstLine="540"/>
        <w:jc w:val="both"/>
      </w:pPr>
      <w:r>
        <w:rPr>
          <w:sz w:val="20"/>
        </w:rPr>
        <w:t xml:space="preserve">Задачей является использование потенциала саморегулирования для создания системы эффективного отбора профессиональных участников строительного рынка, повышения качества работ и услуг, обеспечения безопасности строительства объектов капитального строительства.</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поэтапное с апробированием в 2025 году на пилотных субъектах Российской Федерации введение добровольного механизма отбора подрядчиков с использованием программного обеспечения и оценочных средств, позволяющих определять из открытых источников деловую репутацию подрядчика, его фактические компетенции по нефинансовым критериям;</w:t>
      </w:r>
    </w:p>
    <w:p>
      <w:pPr>
        <w:pStyle w:val="0"/>
        <w:spacing w:before="200" w:lineRule="auto"/>
        <w:ind w:firstLine="540"/>
        <w:jc w:val="both"/>
      </w:pPr>
      <w:r>
        <w:rPr>
          <w:sz w:val="20"/>
        </w:rPr>
        <w:t xml:space="preserve">формирование условий, стимулирующих самоконтроль саморегулируемых организаций, в том числе за счет оценки деятельности подрядчиков, расширения случаев выплат из средств компенсационных фондов саморегулируемых организаций;</w:t>
      </w:r>
    </w:p>
    <w:p>
      <w:pPr>
        <w:pStyle w:val="0"/>
        <w:spacing w:before="200" w:lineRule="auto"/>
        <w:ind w:firstLine="540"/>
        <w:jc w:val="both"/>
      </w:pPr>
      <w:r>
        <w:rPr>
          <w:sz w:val="20"/>
        </w:rPr>
        <w:t xml:space="preserve">создание информационного ресурса саморегулирования в строительной отрасли, содержащего сведения о членах всех саморегулируемых организаций и их обязательствах по договорам подряда, синхронизированного со сведениями национальных реестров специалистов;</w:t>
      </w:r>
    </w:p>
    <w:p>
      <w:pPr>
        <w:pStyle w:val="0"/>
        <w:spacing w:before="200" w:lineRule="auto"/>
        <w:ind w:firstLine="540"/>
        <w:jc w:val="both"/>
      </w:pPr>
      <w:r>
        <w:rPr>
          <w:sz w:val="20"/>
        </w:rPr>
        <w:t xml:space="preserve">переход к независимой оценке квалификации специалистов, сведения о которых включаются в национальные реестры специалистов;</w:t>
      </w:r>
    </w:p>
    <w:p>
      <w:pPr>
        <w:pStyle w:val="0"/>
        <w:spacing w:before="200" w:lineRule="auto"/>
        <w:ind w:firstLine="540"/>
        <w:jc w:val="both"/>
      </w:pPr>
      <w:r>
        <w:rPr>
          <w:sz w:val="20"/>
        </w:rPr>
        <w:t xml:space="preserve">формирование эффективного механизма соразмерной персональной ответственности главных инженеров проектов и главных архитекторов проектов, предусматривающего случаи исключения сведений о данных специалистах из национального реестра специалистов или отказа во включении сведений о них в данный реестр, связанные с привлечением таких специалистов к ответственности за нарушения градостроительного законодательства.</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введена система добровольной предварительной квалификации участников строительного рынка и добровольной рейтинговой оценки деятельности подрядчиков для усиления контроля саморегулируемых организаций за добросовестным исполнением договоров подряда;</w:t>
      </w:r>
    </w:p>
    <w:p>
      <w:pPr>
        <w:pStyle w:val="0"/>
        <w:spacing w:before="200" w:lineRule="auto"/>
        <w:ind w:firstLine="540"/>
        <w:jc w:val="both"/>
      </w:pPr>
      <w:r>
        <w:rPr>
          <w:sz w:val="20"/>
        </w:rPr>
        <w:t xml:space="preserve">создан единый реестр сведений о членах саморегулируемых организаций и их обязательствах, позволяющий заказчикам получать сведения о потенциальном подрядчике в режиме онлайн;</w:t>
      </w:r>
    </w:p>
    <w:p>
      <w:pPr>
        <w:pStyle w:val="0"/>
        <w:spacing w:before="200" w:lineRule="auto"/>
        <w:ind w:firstLine="540"/>
        <w:jc w:val="both"/>
      </w:pPr>
      <w:r>
        <w:rPr>
          <w:sz w:val="20"/>
        </w:rPr>
        <w:t xml:space="preserve">усилена финансовая ответственность саморегулируемых организаций за деятельностью своих членов, обеспечивающая эффективное выполнение функций саморегулируемых организаций;</w:t>
      </w:r>
    </w:p>
    <w:p>
      <w:pPr>
        <w:pStyle w:val="0"/>
        <w:spacing w:before="200" w:lineRule="auto"/>
        <w:ind w:firstLine="540"/>
        <w:jc w:val="both"/>
      </w:pPr>
      <w:r>
        <w:rPr>
          <w:sz w:val="20"/>
        </w:rPr>
        <w:t xml:space="preserve">созданы условия для исключения ряда существующих административных процедур, в том числе проведения экспертизы проектной документации или инженерных изысканий, за счет допуска к выполнению работ квалифицированных специалистов 5 - 7 уровня квалификации;</w:t>
      </w:r>
    </w:p>
    <w:p>
      <w:pPr>
        <w:pStyle w:val="0"/>
        <w:spacing w:before="200" w:lineRule="auto"/>
        <w:ind w:firstLine="540"/>
        <w:jc w:val="both"/>
      </w:pPr>
      <w:r>
        <w:rPr>
          <w:sz w:val="20"/>
        </w:rPr>
        <w:t xml:space="preserve">повышен уровень качества выполняемых работ членами саморегулируемых организаций за счет усиления персональной ответственности главных инженеров проекта и главных архитекторов проекта.</w:t>
      </w:r>
    </w:p>
    <w:p>
      <w:pPr>
        <w:pStyle w:val="0"/>
        <w:jc w:val="both"/>
      </w:pPr>
      <w:r>
        <w:rPr>
          <w:sz w:val="20"/>
        </w:rPr>
      </w:r>
    </w:p>
    <w:p>
      <w:pPr>
        <w:pStyle w:val="2"/>
        <w:outlineLvl w:val="3"/>
        <w:jc w:val="center"/>
      </w:pPr>
      <w:r>
        <w:rPr>
          <w:sz w:val="20"/>
        </w:rPr>
        <w:t xml:space="preserve">Развитие института экспертизы проектной документации</w:t>
      </w:r>
    </w:p>
    <w:p>
      <w:pPr>
        <w:pStyle w:val="2"/>
        <w:jc w:val="center"/>
      </w:pPr>
      <w:r>
        <w:rPr>
          <w:sz w:val="20"/>
        </w:rPr>
        <w:t xml:space="preserve">и результатов инженерных изысканий</w:t>
      </w:r>
    </w:p>
    <w:p>
      <w:pPr>
        <w:pStyle w:val="0"/>
        <w:jc w:val="both"/>
      </w:pPr>
      <w:r>
        <w:rPr>
          <w:sz w:val="20"/>
        </w:rPr>
      </w:r>
    </w:p>
    <w:p>
      <w:pPr>
        <w:pStyle w:val="0"/>
        <w:ind w:firstLine="540"/>
        <w:jc w:val="both"/>
      </w:pPr>
      <w:r>
        <w:rPr>
          <w:sz w:val="20"/>
        </w:rPr>
        <w:t xml:space="preserve">Институт экспертизы проектной документации и результатов инженерных изысканий - один из механизмов обеспечения безопасности объекта капитального строительства.</w:t>
      </w:r>
    </w:p>
    <w:p>
      <w:pPr>
        <w:pStyle w:val="0"/>
        <w:spacing w:before="200" w:lineRule="auto"/>
        <w:ind w:firstLine="540"/>
        <w:jc w:val="both"/>
      </w:pPr>
      <w:r>
        <w:rPr>
          <w:sz w:val="20"/>
        </w:rPr>
        <w:t xml:space="preserve">В настоящее время в отношении проектной документации объекта капитального строительства предусмотрено проведение государственной или негосударственной экспертизы проектной документации, а в отдельных случаях - государственной историко-культурной экспертизы и (или) государственной экологической экспертизы.</w:t>
      </w:r>
    </w:p>
    <w:p>
      <w:pPr>
        <w:pStyle w:val="0"/>
        <w:spacing w:before="200" w:lineRule="auto"/>
        <w:ind w:firstLine="540"/>
        <w:jc w:val="both"/>
      </w:pPr>
      <w:r>
        <w:rPr>
          <w:sz w:val="20"/>
        </w:rPr>
        <w:t xml:space="preserve">С 1 сентября 2022 г. реализована возможность проведения экспертизы проектной документации и государственной экологической экспертизы по принципу "одного окна". Указанные экспертизы проводятся параллельно.</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необходимость перехода от последовательного прохождения процедур, связанных с подготовкой проектной документации и строительством объекта, к параллельному проектированию и строительству;</w:t>
      </w:r>
    </w:p>
    <w:p>
      <w:pPr>
        <w:pStyle w:val="0"/>
        <w:spacing w:before="200" w:lineRule="auto"/>
        <w:ind w:firstLine="540"/>
        <w:jc w:val="both"/>
      </w:pPr>
      <w:r>
        <w:rPr>
          <w:sz w:val="20"/>
        </w:rPr>
        <w:t xml:space="preserve">необходимость повышения качества и скорости взаимодействия всех органов (организаций), осуществляющих проведение экспертизы, а также иных участников инвестиционно-строительного процесса.</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создание условий для взаимодействия участников инвестиционно-строительного процесса и всех органов (организаций), осуществляющих проведение экспертизы в единой цифровой среде;</w:t>
      </w:r>
    </w:p>
    <w:p>
      <w:pPr>
        <w:pStyle w:val="0"/>
        <w:spacing w:before="200" w:lineRule="auto"/>
        <w:ind w:firstLine="540"/>
        <w:jc w:val="both"/>
      </w:pPr>
      <w:r>
        <w:rPr>
          <w:sz w:val="20"/>
        </w:rPr>
        <w:t xml:space="preserve">закрепление возможности начала строительства на более ранней стадии (параллельно с проектированием) с использованием механизма экспертного сопровождения подготовки проектной документации с учетом требований законодательства об экологической экспертизе;</w:t>
      </w:r>
    </w:p>
    <w:p>
      <w:pPr>
        <w:pStyle w:val="0"/>
        <w:spacing w:before="200" w:lineRule="auto"/>
        <w:ind w:firstLine="540"/>
        <w:jc w:val="both"/>
      </w:pPr>
      <w:r>
        <w:rPr>
          <w:sz w:val="20"/>
        </w:rPr>
        <w:t xml:space="preserve">исключение дублирования процедур оценки проектной документации, проводимой в рамках экспертизы проектной документации, экологической и историко-культурной экспертиз.</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внедрение единая цифровая платформа экспертизы с последующей интеграцией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для взаимодействия всех органов (организаций), осуществляющих проведение экспертизы, участников инвестиционно-строительного процесса в рамках единой цифровой среды;</w:t>
      </w:r>
    </w:p>
    <w:p>
      <w:pPr>
        <w:pStyle w:val="0"/>
        <w:spacing w:before="200" w:lineRule="auto"/>
        <w:ind w:firstLine="540"/>
        <w:jc w:val="both"/>
      </w:pPr>
      <w:r>
        <w:rPr>
          <w:sz w:val="20"/>
        </w:rPr>
        <w:t xml:space="preserve">организация проведения экспертизы проектной документации в форме экспертного сопровождения подготовки проектной документации;</w:t>
      </w:r>
    </w:p>
    <w:p>
      <w:pPr>
        <w:pStyle w:val="0"/>
        <w:spacing w:before="200" w:lineRule="auto"/>
        <w:ind w:firstLine="540"/>
        <w:jc w:val="both"/>
      </w:pPr>
      <w:r>
        <w:rPr>
          <w:sz w:val="20"/>
        </w:rPr>
        <w:t xml:space="preserve">синхронизация и оптимизация процедур, предусмотренных экспертизой проектной документации, экологической и историко-культурной экспертизами, сокращение перечня объектов, в отношении которых проводится экспертиза проектной документации.</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повышено качество проектных решений, исключена необходимость существенных корректировок проектной документации в процессе строительства;</w:t>
      </w:r>
    </w:p>
    <w:p>
      <w:pPr>
        <w:pStyle w:val="0"/>
        <w:spacing w:before="200" w:lineRule="auto"/>
        <w:ind w:firstLine="540"/>
        <w:jc w:val="both"/>
      </w:pPr>
      <w:r>
        <w:rPr>
          <w:sz w:val="20"/>
        </w:rPr>
        <w:t xml:space="preserve">исключены излишние процедуры, связанные с рассмотрением проектной документации во всех органах (организациях), осуществляющих проведение экспертизы;</w:t>
      </w:r>
    </w:p>
    <w:p>
      <w:pPr>
        <w:pStyle w:val="0"/>
        <w:spacing w:before="200" w:lineRule="auto"/>
        <w:ind w:firstLine="540"/>
        <w:jc w:val="both"/>
      </w:pPr>
      <w:r>
        <w:rPr>
          <w:sz w:val="20"/>
        </w:rPr>
        <w:t xml:space="preserve">обеспечено формирование единой цифровой среды для всех участников инвестиционно-строительного процесса.</w:t>
      </w:r>
    </w:p>
    <w:p>
      <w:pPr>
        <w:pStyle w:val="0"/>
        <w:jc w:val="both"/>
      </w:pPr>
      <w:r>
        <w:rPr>
          <w:sz w:val="20"/>
        </w:rPr>
      </w:r>
    </w:p>
    <w:p>
      <w:pPr>
        <w:pStyle w:val="2"/>
        <w:outlineLvl w:val="1"/>
        <w:jc w:val="center"/>
      </w:pPr>
      <w:r>
        <w:rPr>
          <w:sz w:val="20"/>
        </w:rPr>
        <w:t xml:space="preserve">VI. Развитие жилищно-коммунального хозяйства</w:t>
      </w:r>
    </w:p>
    <w:p>
      <w:pPr>
        <w:pStyle w:val="0"/>
        <w:jc w:val="both"/>
      </w:pPr>
      <w:r>
        <w:rPr>
          <w:sz w:val="20"/>
        </w:rPr>
      </w:r>
    </w:p>
    <w:p>
      <w:pPr>
        <w:pStyle w:val="0"/>
        <w:ind w:firstLine="540"/>
        <w:jc w:val="both"/>
      </w:pPr>
      <w:r>
        <w:rPr>
          <w:sz w:val="20"/>
        </w:rPr>
        <w:t xml:space="preserve">Развитие коммунальной и жилищной сферы в Российской Федерации привело к определенным улучшениям в этих отраслях. Так, если в 2010 году лишь 39 процентов граждан устраивало качество жилищно-коммунальных услуг, то в 2019 году, по данным опроса Всероссийского центра изучения общественного мнения, доля таких граждан увеличилась до 60 процентов.</w:t>
      </w:r>
    </w:p>
    <w:p>
      <w:pPr>
        <w:pStyle w:val="0"/>
        <w:spacing w:before="200" w:lineRule="auto"/>
        <w:ind w:firstLine="540"/>
        <w:jc w:val="both"/>
      </w:pPr>
      <w:r>
        <w:rPr>
          <w:sz w:val="20"/>
        </w:rPr>
        <w:t xml:space="preserve">В то же время состояние коммунальной и жилищной сферы в Российской Федерации имеет существенные региональные, а также муниципальные различия. Значительная часть систем и объектов жилищно-коммунального хозяйства нуждается в качественной технологической модернизации с привлечением существенного объема инвестиций. Причиной такого положения в первую очередь является недостаточная эффективность деятельности организаций и предприятий жилищно-коммунального хозяйства, обусловленная недостатками применяемых методов ценового регулирования, отсутствием мотивации к снижению затрат, повышению энергоэффективности систем инженерно-технического обеспечения и внедрению новых технологий при их строительстве и эксплуатации, отсутствие сформированной системы технического обследования объектов коммунальной инфраструктуры и жилищного фонда.</w:t>
      </w:r>
    </w:p>
    <w:p>
      <w:pPr>
        <w:pStyle w:val="0"/>
        <w:spacing w:before="200" w:lineRule="auto"/>
        <w:ind w:firstLine="540"/>
        <w:jc w:val="both"/>
      </w:pPr>
      <w:r>
        <w:rPr>
          <w:sz w:val="20"/>
        </w:rPr>
        <w:t xml:space="preserve">Актуальной остается проблема ветшания сетей инженерно-технического обеспечения. Более 40 процентов линейных объектов сферы жилищно-коммунального хозяйства нуждается в замене (391 из 940 тыс. километров сетей), в том числе:</w:t>
      </w:r>
    </w:p>
    <w:p>
      <w:pPr>
        <w:pStyle w:val="0"/>
        <w:spacing w:before="200" w:lineRule="auto"/>
        <w:ind w:firstLine="540"/>
        <w:jc w:val="both"/>
      </w:pPr>
      <w:r>
        <w:rPr>
          <w:sz w:val="20"/>
        </w:rPr>
        <w:t xml:space="preserve">сетей водоснабжения 43,4 процента (249 тыс. километров из 574 тыс. километров);</w:t>
      </w:r>
    </w:p>
    <w:p>
      <w:pPr>
        <w:pStyle w:val="0"/>
        <w:spacing w:before="200" w:lineRule="auto"/>
        <w:ind w:firstLine="540"/>
        <w:jc w:val="both"/>
      </w:pPr>
      <w:r>
        <w:rPr>
          <w:sz w:val="20"/>
        </w:rPr>
        <w:t xml:space="preserve">сетей теплоснабжения 30 процентов (50 тыс. километров из 167 тыс. километров);</w:t>
      </w:r>
    </w:p>
    <w:p>
      <w:pPr>
        <w:pStyle w:val="0"/>
        <w:spacing w:before="200" w:lineRule="auto"/>
        <w:ind w:firstLine="540"/>
        <w:jc w:val="both"/>
      </w:pPr>
      <w:r>
        <w:rPr>
          <w:sz w:val="20"/>
        </w:rPr>
        <w:t xml:space="preserve">сетей водоотведения 46 процентов (92 тыс. километров из 199 тыс. километров).</w:t>
      </w:r>
    </w:p>
    <w:p>
      <w:pPr>
        <w:pStyle w:val="0"/>
        <w:spacing w:before="200" w:lineRule="auto"/>
        <w:ind w:firstLine="540"/>
        <w:jc w:val="both"/>
      </w:pPr>
      <w:r>
        <w:rPr>
          <w:sz w:val="20"/>
        </w:rPr>
        <w:t xml:space="preserve">Высокий износ коммунальной инфраструктуры является основным фактором, влияющим на объем потерь ресурсов в сетях инженерно-технического обеспечения, а также причиной их высокой аварийности. По данным системы мониторинга и контроля устранения аварий и инцидентов на объектах жилищно-коммунального хозяйства, ежемесячно происходит в среднем 6600 происшествий, средняя продолжительность перерыва в поставках коммунальных услуг составляет около 9 часов 45 минут.</w:t>
      </w:r>
    </w:p>
    <w:p>
      <w:pPr>
        <w:pStyle w:val="0"/>
        <w:spacing w:before="200" w:lineRule="auto"/>
        <w:ind w:firstLine="540"/>
        <w:jc w:val="both"/>
      </w:pPr>
      <w:r>
        <w:rPr>
          <w:sz w:val="20"/>
        </w:rPr>
        <w:t xml:space="preserve">В целях предотвращения деградации систем инженерно-технического обеспечения необходимо для ускоренного обновления основных фондов жилищно-коммунального хозяйства обеспечить ежегодный уровень замены сетей инженерно-технического обеспечения не ниже 5 процентов их общей протяженности.</w:t>
      </w:r>
    </w:p>
    <w:p>
      <w:pPr>
        <w:pStyle w:val="0"/>
        <w:spacing w:before="200" w:lineRule="auto"/>
        <w:ind w:firstLine="540"/>
        <w:jc w:val="both"/>
      </w:pPr>
      <w:r>
        <w:rPr>
          <w:sz w:val="20"/>
        </w:rPr>
        <w:t xml:space="preserve">Высокая изношенность коммунальной инфраструктуры, отставание темпов замены сетей инженерно-технического обеспечения от требуемого согласно нормативному сроку их службы, высокая аварийность являются следствием значительного недоинвестирования отрасли жилищно-коммунального хозяйства.</w:t>
      </w:r>
    </w:p>
    <w:p>
      <w:pPr>
        <w:pStyle w:val="0"/>
        <w:spacing w:before="200" w:lineRule="auto"/>
        <w:ind w:firstLine="540"/>
        <w:jc w:val="both"/>
      </w:pPr>
      <w:r>
        <w:rPr>
          <w:sz w:val="20"/>
        </w:rPr>
        <w:t xml:space="preserve">Необходимо обеспечить проведение мероприятий по замене ветхих сетей инженерно-технического обеспечения во всех субъектах Российской Федерации, в том числе с привлечением бюджетных средств, а также внебюджетных источников финансирования в порядке, определяемом Правительством Российской Федерации, что потребует принятия субъектами Российской Федерации оптимальных тарифных решений, гарантирующих необходимый уровень внебюджетных инвестиций.</w:t>
      </w:r>
    </w:p>
    <w:p>
      <w:pPr>
        <w:pStyle w:val="0"/>
        <w:spacing w:before="200" w:lineRule="auto"/>
        <w:ind w:firstLine="540"/>
        <w:jc w:val="both"/>
      </w:pPr>
      <w:r>
        <w:rPr>
          <w:sz w:val="20"/>
        </w:rPr>
        <w:t xml:space="preserve">Отдельной важной задачей является тарифная политика. Характерной особенностью тарифного регулирования в сфере жилищно-коммунального хозяйства в Российской Федерации остается существенный разброс цен и тарифов, который обусловлен в одних случаях региональными особенностями формирования энергетических и коммунальных систем, в других - жестким регулированием, в-третьих - низкой эффективностью организаций жилищно-коммунального хозяйства.</w:t>
      </w:r>
    </w:p>
    <w:p>
      <w:pPr>
        <w:pStyle w:val="0"/>
        <w:spacing w:before="200" w:lineRule="auto"/>
        <w:ind w:firstLine="540"/>
        <w:jc w:val="both"/>
      </w:pPr>
      <w:r>
        <w:rPr>
          <w:sz w:val="20"/>
        </w:rPr>
        <w:t xml:space="preserve">Обеспечением обновления инфраструктуры и гарантированного возврата вложенных инвестиций должна стать сбалансированная и экономически обоснованная тарифная политика, включающая в себя разработку сбалансированной модели тарифного регулирования в сфере коммунального хозяйства, основанная на следующих базовых принципах:</w:t>
      </w:r>
    </w:p>
    <w:p>
      <w:pPr>
        <w:pStyle w:val="0"/>
        <w:spacing w:before="200" w:lineRule="auto"/>
        <w:ind w:firstLine="540"/>
        <w:jc w:val="both"/>
      </w:pPr>
      <w:r>
        <w:rPr>
          <w:sz w:val="20"/>
        </w:rPr>
        <w:t xml:space="preserve">запрет пересмотра и корректировки тарифов и долгосрочных параметров регулирования деятельности организаций жилищно-коммунального хозяйства в течение долгосрочного периода;</w:t>
      </w:r>
    </w:p>
    <w:p>
      <w:pPr>
        <w:pStyle w:val="0"/>
        <w:spacing w:before="200" w:lineRule="auto"/>
        <w:ind w:firstLine="540"/>
        <w:jc w:val="both"/>
      </w:pPr>
      <w:r>
        <w:rPr>
          <w:sz w:val="20"/>
        </w:rPr>
        <w:t xml:space="preserve">сохранение экономии, полученной в результате проведения мероприятий по модернизации коммунальной инфраструктуры, внедрения новых технологий и сокращения неэффективных расходов при достижении ими плановых значений показателей надежности, качества и энергетической эффективности систем инженерно-технического обеспечения;</w:t>
      </w:r>
    </w:p>
    <w:p>
      <w:pPr>
        <w:pStyle w:val="0"/>
        <w:spacing w:before="200" w:lineRule="auto"/>
        <w:ind w:firstLine="540"/>
        <w:jc w:val="both"/>
      </w:pPr>
      <w:r>
        <w:rPr>
          <w:sz w:val="20"/>
        </w:rPr>
        <w:t xml:space="preserve">обеспечение учета объективных условий функционирования организаций жилищно-коммунального хозяйства, таких как масштаб деятельности, обеспеченность собственными ресурсами, фактическое состояние коммунальной инфраструктуры и технические возможности оптимизации;</w:t>
      </w:r>
    </w:p>
    <w:p>
      <w:pPr>
        <w:pStyle w:val="0"/>
        <w:spacing w:before="200" w:lineRule="auto"/>
        <w:ind w:firstLine="540"/>
        <w:jc w:val="both"/>
      </w:pPr>
      <w:r>
        <w:rPr>
          <w:sz w:val="20"/>
        </w:rPr>
        <w:t xml:space="preserve">закрепление долгосрочных гарантий возврата и доходности инвестиций (в том числе за счет достигаемых в результате реализации проектов эффектов (дополнительной прибыли) для потребителей), формирование стабильного инвестиционного цикла регулируемых организаций, с ориентацией на применение российских материалов и технологий в проектах модернизации коммунальной инфраструктуры;</w:t>
      </w:r>
    </w:p>
    <w:p>
      <w:pPr>
        <w:pStyle w:val="0"/>
        <w:spacing w:before="200" w:lineRule="auto"/>
        <w:ind w:firstLine="540"/>
        <w:jc w:val="both"/>
      </w:pPr>
      <w:r>
        <w:rPr>
          <w:sz w:val="20"/>
        </w:rPr>
        <w:t xml:space="preserve">установление целевых параметров роста операционной и инвестиционной эффективности организаций жилищно-коммунального хозяйства по итогам первого (пилотного) этапа реализации целевой модели тарифного регулирования (в том числе темпа сокращения операционных расходов, уменьшения износа систем инженерно-технического обеспечения, доли ветхих сетей инженерно-технического обеспечения);</w:t>
      </w:r>
    </w:p>
    <w:p>
      <w:pPr>
        <w:pStyle w:val="0"/>
        <w:spacing w:before="200" w:lineRule="auto"/>
        <w:ind w:firstLine="540"/>
        <w:jc w:val="both"/>
      </w:pPr>
      <w:r>
        <w:rPr>
          <w:sz w:val="20"/>
        </w:rPr>
        <w:t xml:space="preserve">создание единой цифровой тарифной платформы, обеспечивающей прозрачность и эффективность тарифного регулирования и контроля инвестиционных программ.</w:t>
      </w:r>
    </w:p>
    <w:p>
      <w:pPr>
        <w:pStyle w:val="0"/>
        <w:spacing w:before="200" w:lineRule="auto"/>
        <w:ind w:firstLine="540"/>
        <w:jc w:val="both"/>
      </w:pPr>
      <w:r>
        <w:rPr>
          <w:sz w:val="20"/>
        </w:rPr>
        <w:t xml:space="preserve">Одним из механизмов привлечения внебюджетных средств для обновления объектов коммунальной инфраструктуры являются концессионные соглашения. По состоянию на 1 апреля 2022 г. заключено и действует 2,4 тыс. концессионных соглашений, при этом общий объем инвестиций (нарастающим итогом), предусмотренный в рамках данных концессионных соглашений, составляет около 713,6 млрд. рублей, в том числе средства частных инвесторов - более 87,25 процента общего количества планируемых к инвестированию средств.</w:t>
      </w:r>
    </w:p>
    <w:p>
      <w:pPr>
        <w:pStyle w:val="0"/>
        <w:spacing w:before="200" w:lineRule="auto"/>
        <w:ind w:firstLine="540"/>
        <w:jc w:val="both"/>
      </w:pPr>
      <w:r>
        <w:rPr>
          <w:sz w:val="20"/>
        </w:rPr>
        <w:t xml:space="preserve">Механизм концессионных соглашений показал свою эффективность в крупных муниципальных образованиях с привлекательными для инвесторов тарифами на объекты коммунальной инфраструктуры. В то же время существует значительное количество малых городов и сельских поселений, в которых концессионный механизм не является для инвесторов привлекательным и эффективным.</w:t>
      </w:r>
    </w:p>
    <w:p>
      <w:pPr>
        <w:pStyle w:val="0"/>
        <w:spacing w:before="200" w:lineRule="auto"/>
        <w:ind w:firstLine="540"/>
        <w:jc w:val="both"/>
      </w:pPr>
      <w:r>
        <w:rPr>
          <w:sz w:val="20"/>
        </w:rPr>
        <w:t xml:space="preserve">Еще одной системной проблемой жилищно-коммунального хозяйства является задолженность граждан и организаций за потребленные услуги и ресурсы. Долги за ресурсы и услуги предприятий жилищно-коммунального хозяйства со стороны организаций и населения по итогам 2021 года составили почти 1,5 трлн. рублей, из них долги населения и исполнителей коммунальных услуг - 943 млрд. рублей, организаций, финансируемых из бюджетов всех уровней, - 57 млрд. рублей, прочих потребителей, в том числе за коммунальные услуги, - 478 млрд. рублей.</w:t>
      </w:r>
    </w:p>
    <w:p>
      <w:pPr>
        <w:pStyle w:val="0"/>
        <w:spacing w:before="200" w:lineRule="auto"/>
        <w:ind w:firstLine="540"/>
        <w:jc w:val="both"/>
      </w:pPr>
      <w:r>
        <w:rPr>
          <w:sz w:val="20"/>
        </w:rPr>
        <w:t xml:space="preserve">Способствовать решению проблемы задолженности может повышение доли коммунальных ресурсов и услуг, оплаченных по показаниям приборов учета. В целях оснащения жилищного фонда интеллектуальными системами учета потребляемых коммунальных услуг и ресурсов планируется разработка и внедрение стандарта, способствующего интеграции со связанными системами, в том числе в рамках реализации проекта "умный город".</w:t>
      </w:r>
    </w:p>
    <w:p>
      <w:pPr>
        <w:pStyle w:val="0"/>
        <w:spacing w:before="200" w:lineRule="auto"/>
        <w:ind w:firstLine="540"/>
        <w:jc w:val="both"/>
      </w:pPr>
      <w:r>
        <w:rPr>
          <w:sz w:val="20"/>
        </w:rPr>
        <w:t xml:space="preserve">На конец 2021 года в Российской Федерации насчитывается более 1,62 млн. многоквартирных домов общей площадью жилых помещений около 2,5 млрд. кв. метров, из них 98 процентов управляются объединениями собственников или управляющими организациями.</w:t>
      </w:r>
    </w:p>
    <w:p>
      <w:pPr>
        <w:pStyle w:val="0"/>
        <w:spacing w:before="200" w:lineRule="auto"/>
        <w:ind w:firstLine="540"/>
        <w:jc w:val="both"/>
      </w:pPr>
      <w:r>
        <w:rPr>
          <w:sz w:val="20"/>
        </w:rPr>
        <w:t xml:space="preserve">С 1 сентября 2014 г. вступили в силу изменения в Жилищный </w:t>
      </w:r>
      <w:r>
        <w:rPr>
          <w:sz w:val="20"/>
        </w:rPr>
        <w:t xml:space="preserve">кодекс</w:t>
      </w:r>
      <w:r>
        <w:rPr>
          <w:sz w:val="20"/>
        </w:rPr>
        <w:t xml:space="preserve"> Российской Федерации, которыми введена процедура лицензирования предпринимательской деятельности по управлению многоквартирными домами. Сформированная система лицензионного контроля обеспечивает публичность и прозрачность процесса смены способа управления каждым многоквартирным домом или смены управляющей организации. Информация об управляющих организациях и поставщиках жилищно-коммунальных услуг в отношении каждого многоквартирного дома размещается в государственной информационной системе жилищно-коммунального хозяйства.</w:t>
      </w:r>
    </w:p>
    <w:p>
      <w:pPr>
        <w:pStyle w:val="0"/>
        <w:spacing w:before="200" w:lineRule="auto"/>
        <w:ind w:firstLine="540"/>
        <w:jc w:val="both"/>
      </w:pPr>
      <w:r>
        <w:rPr>
          <w:sz w:val="20"/>
        </w:rPr>
        <w:t xml:space="preserve">Вместе с тем отмечаются неразвитость института заказчиков работ и услуг для многоквартирных домов в лице собственников жилья и товариществ собственников жилья, недостаточная эффективность деятельности управляющих организаций, низкий уровень цифровизации услуг в сфере жилищно-коммунального хозяйства, сложности с реализацией полномочий органов местного самоуправления по выбору управляющих организаций или определению временных управляющих организаций в случае, если конкурс не состоялся.</w:t>
      </w:r>
    </w:p>
    <w:p>
      <w:pPr>
        <w:pStyle w:val="0"/>
        <w:spacing w:before="200" w:lineRule="auto"/>
        <w:ind w:firstLine="540"/>
        <w:jc w:val="both"/>
      </w:pPr>
      <w:r>
        <w:rPr>
          <w:sz w:val="20"/>
        </w:rPr>
        <w:t xml:space="preserve">Один из важных вопросов в сфере эксплуатации многоквартирных домов - безопасность эксплуатации внутридомового и внутриквартирного газового оборудования. Общее потребление природного газа в 2021 году в Российской Федерации составило более 500 млрд. куб. метров, из них на население пришлось около 11 процентов. Единая система газоснабжения обслуживает более 66 процентов жилищного фонда Российской Федерации, в отдельных регионах - более 95 процентов.</w:t>
      </w:r>
    </w:p>
    <w:p>
      <w:pPr>
        <w:pStyle w:val="0"/>
        <w:spacing w:before="200" w:lineRule="auto"/>
        <w:ind w:firstLine="540"/>
        <w:jc w:val="both"/>
      </w:pPr>
      <w:r>
        <w:rPr>
          <w:sz w:val="20"/>
        </w:rPr>
        <w:t xml:space="preserve">В Российской Федерации с 2014 года на постоянной и долгосрочной основе созданы и функционируют на региональном уровне механизмы капитального ремонта общего имущества в многоквартирных домах. В каждом регионе создан региональный оператор капитального ремонта, утверждены региональные программы капитального ремонта, установлены минимальные размеры взноса на капитальный ремонт. В региональные программы капитального ремонта включены 723 тыс. многоквартирных домов общей площадью 2,7 млрд. кв. метров (с учетом вспомогательных и нежилых помещений), в которых проживают 89 млн. человек.</w:t>
      </w:r>
    </w:p>
    <w:p>
      <w:pPr>
        <w:pStyle w:val="0"/>
        <w:spacing w:before="200" w:lineRule="auto"/>
        <w:ind w:firstLine="540"/>
        <w:jc w:val="both"/>
      </w:pPr>
      <w:r>
        <w:rPr>
          <w:sz w:val="20"/>
        </w:rPr>
        <w:t xml:space="preserve">Для реализации региональных программ капитального ремонта субъектами Российской Федерации утверждаются 3-летние краткосрочные планы их реализации. С начала реализации таких программ работы по капитальному ремонту проведены в более чем в 242 тыс. многоквартирных домах общей площадью более 876 млн. кв. метров, что позволило улучшить условия проживания более 32 млн. человек. Ежегодно капитальный ремонт проводится более чем в 45 тыс. многоквартирных домах, стоимость работ составляет более 180 млрд. рублей.</w:t>
      </w:r>
    </w:p>
    <w:p>
      <w:pPr>
        <w:pStyle w:val="0"/>
        <w:spacing w:before="200" w:lineRule="auto"/>
        <w:ind w:firstLine="540"/>
        <w:jc w:val="both"/>
      </w:pPr>
      <w:r>
        <w:rPr>
          <w:sz w:val="20"/>
        </w:rPr>
        <w:t xml:space="preserve">При этом, несмотря на стабильно функционирующие региональные программы капитального ремонта, имеются направления развития, требующие принятия системных решений, в том числе на федеральном уровне, для обеспечения дальнейшего совершенствования сферы капитального ремонта общего имущества многоквартирных домов.</w:t>
      </w:r>
    </w:p>
    <w:p>
      <w:pPr>
        <w:pStyle w:val="0"/>
        <w:spacing w:before="200" w:lineRule="auto"/>
        <w:ind w:firstLine="540"/>
        <w:jc w:val="both"/>
      </w:pPr>
      <w:r>
        <w:rPr>
          <w:sz w:val="20"/>
        </w:rPr>
        <w:t xml:space="preserve">Практика реализации региональных программ капитального ремонта субъектами Российской Федерации показала, что жесткая фиксация сроков выполнения работ в долгосрочных программах неэффективна. Плановые сроки работ были установлены на этапе формирования региональных программ, на основе нормативных межремонтных сроков и с учетом имевшихся данных о техническом состоянии многоквартирных домов и их конструктивных элементах. В связи с неполнотой системы технического учета жилищного фонда сведения о техническом состоянии многоквартирных домов не были в достаточной степени актуальными и достоверными.</w:t>
      </w:r>
    </w:p>
    <w:p>
      <w:pPr>
        <w:pStyle w:val="0"/>
        <w:spacing w:before="200" w:lineRule="auto"/>
        <w:ind w:firstLine="540"/>
        <w:jc w:val="both"/>
      </w:pPr>
      <w:r>
        <w:rPr>
          <w:sz w:val="20"/>
        </w:rPr>
        <w:t xml:space="preserve">Имеются существенные различия в подходе к формированию региональных программ и краткосрочных планов по субъектам Российской Федерации. В ряде случаев отмечается неравномерное планирование работ по капитальному ремонту, предусмотренное региональной программой как в краткосрочной, так и в долгосрочной перспективе. Некачественное планирование ведет к неэффективному расходованию средств собственников. Таким образом, требуется более гибкий механизм планирования работ по капитальному ремонту, учитывающий фактическое техническое состояние конструктивных элементов, а также унификация на федеральном уровне подходов к формированию региональных программ и краткосрочных планов.</w:t>
      </w:r>
    </w:p>
    <w:p>
      <w:pPr>
        <w:pStyle w:val="0"/>
        <w:spacing w:before="200" w:lineRule="auto"/>
        <w:ind w:firstLine="540"/>
        <w:jc w:val="both"/>
      </w:pPr>
      <w:r>
        <w:rPr>
          <w:sz w:val="20"/>
        </w:rPr>
        <w:t xml:space="preserve">Несоответствие запланированного объема работ прогнозному поступлению взносов на капитальный ремонт, обусловленное среди прочего установлением субъектами Российской Федерации минимального размера взноса на капитальный ремонт на недостаточном уровне, влечет риски неисполнения региональных программ капитального ремонта субъектами Российской Федерации в полном объеме.</w:t>
      </w:r>
    </w:p>
    <w:p>
      <w:pPr>
        <w:pStyle w:val="0"/>
        <w:spacing w:before="200" w:lineRule="auto"/>
        <w:ind w:firstLine="540"/>
        <w:jc w:val="both"/>
      </w:pPr>
      <w:r>
        <w:rPr>
          <w:sz w:val="20"/>
        </w:rPr>
        <w:t xml:space="preserve">В Российской Федерации с июля 2017 г. реализуются мероприятия в рамках реформы обращения с твердыми коммунальными отходами. По результатам отбора, проводимого в установленном Правительством Российской Федерации порядке, определяются региональные операторы по обращению с твердыми коммунальными отходами. С момента начала деятельности регионального оператора услуга по обращению с твердыми коммунальными отходами включается в состав коммунальных услуг. В настоящее время назрела необходимость совершенствования подходов к тарифному регулированию в соответствии с утвержденной </w:t>
      </w:r>
      <w:r>
        <w:rPr>
          <w:sz w:val="20"/>
        </w:rPr>
        <w:t xml:space="preserve">Концепцией</w:t>
      </w:r>
      <w:r>
        <w:rPr>
          <w:sz w:val="20"/>
        </w:rPr>
        <w:t xml:space="preserve"> внедрения механизмов тарифообразования для организаций, осуществляющих регулируемые виды деятельности, на долгосрочный период, пересмотру нормативов накопления твердых коммунальных отходов, реализации мероприятий, направленных на достижение показателей национального </w:t>
      </w:r>
      <w:r>
        <w:rPr>
          <w:sz w:val="20"/>
        </w:rPr>
        <w:t xml:space="preserve">проекта</w:t>
      </w:r>
      <w:r>
        <w:rPr>
          <w:sz w:val="20"/>
        </w:rPr>
        <w:t xml:space="preserve"> "Экология".</w:t>
      </w:r>
    </w:p>
    <w:p>
      <w:pPr>
        <w:pStyle w:val="0"/>
        <w:spacing w:before="200" w:lineRule="auto"/>
        <w:ind w:firstLine="540"/>
        <w:jc w:val="both"/>
      </w:pPr>
      <w:r>
        <w:rPr>
          <w:sz w:val="20"/>
        </w:rPr>
        <w:t xml:space="preserve">Качественной питьевой водой из систем централизованного водоснабжения, по данным Федеральной службы по надзору в сфере защиты прав потребителей и благополучия человека, обеспечено 86,5 процента населения Российской Федерации. При этом распределение показателя по территории Российской Федерации неоднородно, поскольку в ряде регионов и крупных муниципальных образований до настоящего времени отсутствуют централизованные системы водоснабжения.</w:t>
      </w:r>
    </w:p>
    <w:p>
      <w:pPr>
        <w:pStyle w:val="0"/>
        <w:jc w:val="both"/>
      </w:pPr>
      <w:r>
        <w:rPr>
          <w:sz w:val="20"/>
        </w:rPr>
      </w:r>
    </w:p>
    <w:p>
      <w:pPr>
        <w:pStyle w:val="2"/>
        <w:outlineLvl w:val="2"/>
        <w:jc w:val="center"/>
      </w:pPr>
      <w:r>
        <w:rPr>
          <w:sz w:val="20"/>
        </w:rPr>
        <w:t xml:space="preserve">Управление жилищным фондом</w:t>
      </w:r>
    </w:p>
    <w:p>
      <w:pPr>
        <w:pStyle w:val="0"/>
        <w:jc w:val="both"/>
      </w:pPr>
      <w:r>
        <w:rPr>
          <w:sz w:val="20"/>
        </w:rPr>
      </w:r>
    </w:p>
    <w:p>
      <w:pPr>
        <w:pStyle w:val="0"/>
        <w:ind w:firstLine="540"/>
        <w:jc w:val="both"/>
      </w:pPr>
      <w:r>
        <w:rPr>
          <w:sz w:val="20"/>
        </w:rPr>
        <w:t xml:space="preserve">Вызовами являются:</w:t>
      </w:r>
    </w:p>
    <w:p>
      <w:pPr>
        <w:pStyle w:val="0"/>
        <w:spacing w:before="200" w:lineRule="auto"/>
        <w:ind w:firstLine="540"/>
        <w:jc w:val="both"/>
      </w:pPr>
      <w:r>
        <w:rPr>
          <w:sz w:val="20"/>
        </w:rPr>
        <w:t xml:space="preserve">зарегулированность принятия и реализации решений собственниками жилья, отсутствие простых и доступных сервисов, направленных на упрощение управления многоквартирным домом;</w:t>
      </w:r>
    </w:p>
    <w:p>
      <w:pPr>
        <w:pStyle w:val="0"/>
        <w:spacing w:before="200" w:lineRule="auto"/>
        <w:ind w:firstLine="540"/>
        <w:jc w:val="both"/>
      </w:pPr>
      <w:r>
        <w:rPr>
          <w:sz w:val="20"/>
        </w:rPr>
        <w:t xml:space="preserve">недостаточная эффективность управляющих организаций, обусловленная недостатками применяемых методов ценового регулирования, отсутствием у управляющих организаций мотивации к снижению затрат, повышению энергоэффективности и внедрению новых технологий;</w:t>
      </w:r>
    </w:p>
    <w:p>
      <w:pPr>
        <w:pStyle w:val="0"/>
        <w:spacing w:before="200" w:lineRule="auto"/>
        <w:ind w:firstLine="540"/>
        <w:jc w:val="both"/>
      </w:pPr>
      <w:r>
        <w:rPr>
          <w:sz w:val="20"/>
        </w:rPr>
        <w:t xml:space="preserve">недостаточная надежность и безопасность использования газового оборудования в многоквартирных домах;</w:t>
      </w:r>
    </w:p>
    <w:p>
      <w:pPr>
        <w:pStyle w:val="0"/>
        <w:spacing w:before="200" w:lineRule="auto"/>
        <w:ind w:firstLine="540"/>
        <w:jc w:val="both"/>
      </w:pPr>
      <w:r>
        <w:rPr>
          <w:sz w:val="20"/>
        </w:rPr>
        <w:t xml:space="preserve">отсутствие регулирования отношений по управлению общим имуществом собственников жилых домов в комплексах индивидуальных жилых домов.</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повышение качества предоставляемых жилищно-коммунальных услуг по содержанию и обслуживанию общего имущества собственников жилых помещений;</w:t>
      </w:r>
    </w:p>
    <w:p>
      <w:pPr>
        <w:pStyle w:val="0"/>
        <w:spacing w:before="200" w:lineRule="auto"/>
        <w:ind w:firstLine="540"/>
        <w:jc w:val="both"/>
      </w:pPr>
      <w:r>
        <w:rPr>
          <w:sz w:val="20"/>
        </w:rPr>
        <w:t xml:space="preserve">повышение доступности и удобства процедур принятия собственниками помещений в многоквартирных домах решений по вопросам управления многоквартирным домом;</w:t>
      </w:r>
    </w:p>
    <w:p>
      <w:pPr>
        <w:pStyle w:val="0"/>
        <w:spacing w:before="200" w:lineRule="auto"/>
        <w:ind w:firstLine="540"/>
        <w:jc w:val="both"/>
      </w:pPr>
      <w:r>
        <w:rPr>
          <w:sz w:val="20"/>
        </w:rPr>
        <w:t xml:space="preserve">совершенствование законодательства Российской Федерации, направленное на повышение надежности и безопасности эксплуатации газового оборудования в многоквартирных домах;</w:t>
      </w:r>
    </w:p>
    <w:p>
      <w:pPr>
        <w:pStyle w:val="0"/>
        <w:spacing w:before="200" w:lineRule="auto"/>
        <w:ind w:firstLine="540"/>
        <w:jc w:val="both"/>
      </w:pPr>
      <w:r>
        <w:rPr>
          <w:sz w:val="20"/>
        </w:rPr>
        <w:t xml:space="preserve">совершенствование системы регионального государственного жилищного контроля (надзора) 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pPr>
        <w:pStyle w:val="0"/>
        <w:jc w:val="both"/>
      </w:pPr>
      <w:r>
        <w:rPr>
          <w:sz w:val="20"/>
        </w:rPr>
        <w:t xml:space="preserve">(в ред. </w:t>
      </w:r>
      <w:r>
        <w:rPr>
          <w:sz w:val="20"/>
        </w:rPr>
        <w:t xml:space="preserve">распоряжения</w:t>
      </w:r>
      <w:r>
        <w:rPr>
          <w:sz w:val="20"/>
        </w:rPr>
        <w:t xml:space="preserve"> Правительства РФ от 23.10.2025 N 2976-р)</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внедрение единых стандартов деятельности по управлению многоквартирными домами и их обслуживанию;</w:t>
      </w:r>
    </w:p>
    <w:p>
      <w:pPr>
        <w:pStyle w:val="0"/>
        <w:spacing w:before="200" w:lineRule="auto"/>
        <w:ind w:firstLine="540"/>
        <w:jc w:val="both"/>
      </w:pPr>
      <w:r>
        <w:rPr>
          <w:sz w:val="20"/>
        </w:rPr>
        <w:t xml:space="preserve">внедрение новых подходов в сфере регионального государственного жилищного контроля (надзора) 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pPr>
        <w:pStyle w:val="0"/>
        <w:jc w:val="both"/>
      </w:pPr>
      <w:r>
        <w:rPr>
          <w:sz w:val="20"/>
        </w:rPr>
        <w:t xml:space="preserve">(в ред. </w:t>
      </w:r>
      <w:r>
        <w:rPr>
          <w:sz w:val="20"/>
        </w:rPr>
        <w:t xml:space="preserve">распоряжения</w:t>
      </w:r>
      <w:r>
        <w:rPr>
          <w:sz w:val="20"/>
        </w:rPr>
        <w:t xml:space="preserve"> Правительства РФ от 23.10.2025 N 2976-р)</w:t>
      </w:r>
    </w:p>
    <w:p>
      <w:pPr>
        <w:pStyle w:val="0"/>
        <w:spacing w:before="200" w:lineRule="auto"/>
        <w:ind w:firstLine="540"/>
        <w:jc w:val="both"/>
      </w:pPr>
      <w:r>
        <w:rPr>
          <w:sz w:val="20"/>
        </w:rPr>
        <w:t xml:space="preserve">развитие институтов и моделей управления жильем;</w:t>
      </w:r>
    </w:p>
    <w:p>
      <w:pPr>
        <w:pStyle w:val="0"/>
        <w:spacing w:before="200" w:lineRule="auto"/>
        <w:ind w:firstLine="540"/>
        <w:jc w:val="both"/>
      </w:pPr>
      <w:r>
        <w:rPr>
          <w:sz w:val="20"/>
        </w:rPr>
        <w:t xml:space="preserve">повышение эффективности эксплуатации и обеспечение непрерывного управления многоквартирным домом на всех этапах его жизненного цикла по единым стандартам на основе трансформации института "временной управляющей организации" и внедрения модели "гарантирующей управляющей организации", предполагающей открытые конкурсные процедуры по отбору профессиональных управляющих организаций;</w:t>
      </w:r>
    </w:p>
    <w:p>
      <w:pPr>
        <w:pStyle w:val="0"/>
        <w:spacing w:before="200" w:lineRule="auto"/>
        <w:ind w:firstLine="540"/>
        <w:jc w:val="both"/>
      </w:pPr>
      <w:r>
        <w:rPr>
          <w:sz w:val="20"/>
        </w:rPr>
        <w:t xml:space="preserve">развитие способов управления общим имуществом собственников домов в комплексах индивидуальных жилых домов по аналогии с управлением общим имуществом собственников помещений в многоквартирных домах;</w:t>
      </w:r>
    </w:p>
    <w:p>
      <w:pPr>
        <w:pStyle w:val="0"/>
        <w:spacing w:before="200" w:lineRule="auto"/>
        <w:ind w:firstLine="540"/>
        <w:jc w:val="both"/>
      </w:pPr>
      <w:r>
        <w:rPr>
          <w:sz w:val="20"/>
        </w:rPr>
        <w:t xml:space="preserve">совершенствование моделей ценообразования в сфере управления жильем и содержания общего имущества;</w:t>
      </w:r>
    </w:p>
    <w:p>
      <w:pPr>
        <w:pStyle w:val="0"/>
        <w:spacing w:before="200" w:lineRule="auto"/>
        <w:ind w:firstLine="540"/>
        <w:jc w:val="both"/>
      </w:pPr>
      <w:r>
        <w:rPr>
          <w:sz w:val="20"/>
        </w:rPr>
        <w:t xml:space="preserve">законодательное закрепление требования о том, что обслуживание единого технического комплекса внутридомового и внутриквартирного газового оборудования осуществляется по договору между управляющей организацией и специализированной организацией, оптимизация обязательного перечня работ по обслуживанию внутридомового и внутриквартирного газового оборудования, разработка и внедрение требований к специализированным организациям по обслуживанию вентиляционных каналов;</w:t>
      </w:r>
    </w:p>
    <w:p>
      <w:pPr>
        <w:pStyle w:val="0"/>
        <w:spacing w:before="200" w:lineRule="auto"/>
        <w:ind w:firstLine="540"/>
        <w:jc w:val="both"/>
      </w:pPr>
      <w:r>
        <w:rPr>
          <w:sz w:val="20"/>
        </w:rPr>
        <w:t xml:space="preserve">внедрение публичных рейтингов управляющих организаций на основе ключевых параметров их деятельности;</w:t>
      </w:r>
    </w:p>
    <w:p>
      <w:pPr>
        <w:pStyle w:val="0"/>
        <w:spacing w:before="200" w:lineRule="auto"/>
        <w:ind w:firstLine="540"/>
        <w:jc w:val="both"/>
      </w:pPr>
      <w:r>
        <w:rPr>
          <w:sz w:val="20"/>
        </w:rPr>
        <w:t xml:space="preserve">сокращение барьеров, препятствующих принятию собственниками помещений в многоквартирных домах решений по заключению энергосервисных контрактов, реализации мероприятий по повышению энергоэффективности при содержании общего имущества в многоквартирных домах;</w:t>
      </w:r>
    </w:p>
    <w:p>
      <w:pPr>
        <w:pStyle w:val="0"/>
        <w:spacing w:before="200" w:lineRule="auto"/>
        <w:ind w:firstLine="540"/>
        <w:jc w:val="both"/>
      </w:pPr>
      <w:r>
        <w:rPr>
          <w:sz w:val="20"/>
        </w:rPr>
        <w:t xml:space="preserve">разработка механизмов возврата инвестиций в случае реализации мероприятий, направленных на повышение энергоэффективности в отношении общего имущества в многоквартирных домах;</w:t>
      </w:r>
    </w:p>
    <w:p>
      <w:pPr>
        <w:pStyle w:val="0"/>
        <w:spacing w:before="200" w:lineRule="auto"/>
        <w:ind w:firstLine="540"/>
        <w:jc w:val="both"/>
      </w:pPr>
      <w:r>
        <w:rPr>
          <w:sz w:val="20"/>
        </w:rPr>
        <w:t xml:space="preserve">организация контроля качества коммунальных услуг с обеспечением его мониторинга на базе существующих информационных ресурсов;</w:t>
      </w:r>
    </w:p>
    <w:p>
      <w:pPr>
        <w:pStyle w:val="0"/>
        <w:jc w:val="both"/>
      </w:pPr>
      <w:r>
        <w:rPr>
          <w:sz w:val="20"/>
        </w:rPr>
        <w:t xml:space="preserve">(абзац введен </w:t>
      </w:r>
      <w:r>
        <w:rPr>
          <w:sz w:val="20"/>
        </w:rPr>
        <w:t xml:space="preserve">распоряжением</w:t>
      </w:r>
      <w:r>
        <w:rPr>
          <w:sz w:val="20"/>
        </w:rPr>
        <w:t xml:space="preserve"> Правительства РФ от 23.10.2025 N 2976-р)</w:t>
      </w:r>
    </w:p>
    <w:p>
      <w:pPr>
        <w:pStyle w:val="0"/>
        <w:spacing w:before="200" w:lineRule="auto"/>
        <w:ind w:firstLine="540"/>
        <w:jc w:val="both"/>
      </w:pPr>
      <w:r>
        <w:rPr>
          <w:sz w:val="20"/>
        </w:rPr>
        <w:t xml:space="preserve">введение стандартов предоставления услуг по страхованию общего имущества в многоквартирных домах в целях повышения социально-правовой защищенности граждан;</w:t>
      </w:r>
    </w:p>
    <w:p>
      <w:pPr>
        <w:pStyle w:val="0"/>
        <w:jc w:val="both"/>
      </w:pPr>
      <w:r>
        <w:rPr>
          <w:sz w:val="20"/>
        </w:rPr>
        <w:t xml:space="preserve">(абзац введен </w:t>
      </w:r>
      <w:r>
        <w:rPr>
          <w:sz w:val="20"/>
        </w:rPr>
        <w:t xml:space="preserve">распоряжением</w:t>
      </w:r>
      <w:r>
        <w:rPr>
          <w:sz w:val="20"/>
        </w:rPr>
        <w:t xml:space="preserve"> Правительства РФ от 23.10.2025 N 2976-р)</w:t>
      </w:r>
    </w:p>
    <w:p>
      <w:pPr>
        <w:pStyle w:val="0"/>
        <w:spacing w:before="200" w:lineRule="auto"/>
        <w:ind w:firstLine="540"/>
        <w:jc w:val="both"/>
      </w:pPr>
      <w:r>
        <w:rPr>
          <w:sz w:val="20"/>
        </w:rPr>
        <w:t xml:space="preserve">совершенствование регулирования материально-технического и кадрового обеспечения органов регионального государственного жилищного контроля (надзора).</w:t>
      </w:r>
    </w:p>
    <w:p>
      <w:pPr>
        <w:pStyle w:val="0"/>
        <w:jc w:val="both"/>
      </w:pPr>
      <w:r>
        <w:rPr>
          <w:sz w:val="20"/>
        </w:rPr>
        <w:t xml:space="preserve">(абзац введен </w:t>
      </w:r>
      <w:r>
        <w:rPr>
          <w:sz w:val="20"/>
        </w:rPr>
        <w:t xml:space="preserve">распоряжением</w:t>
      </w:r>
      <w:r>
        <w:rPr>
          <w:sz w:val="20"/>
        </w:rPr>
        <w:t xml:space="preserve"> Правительства РФ от 23.10.2025 N 2976-р)</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все многоквартирные дома (100 процентов) обслуживаются на основе единых стандартов;</w:t>
      </w:r>
    </w:p>
    <w:p>
      <w:pPr>
        <w:pStyle w:val="0"/>
        <w:spacing w:before="200" w:lineRule="auto"/>
        <w:ind w:firstLine="540"/>
        <w:jc w:val="both"/>
      </w:pPr>
      <w:r>
        <w:rPr>
          <w:sz w:val="20"/>
        </w:rPr>
        <w:t xml:space="preserve">обеспечено непрерывное управление многоквартирными домами (нет многоквартирных домов с невыбранным или нереализованным способом управления);</w:t>
      </w:r>
    </w:p>
    <w:p>
      <w:pPr>
        <w:pStyle w:val="0"/>
        <w:spacing w:before="200" w:lineRule="auto"/>
        <w:ind w:firstLine="540"/>
        <w:jc w:val="both"/>
      </w:pPr>
      <w:r>
        <w:rPr>
          <w:sz w:val="20"/>
        </w:rPr>
        <w:t xml:space="preserve">повышен уровень доступности и удобства участия граждан в управлении жильем.</w:t>
      </w:r>
    </w:p>
    <w:p>
      <w:pPr>
        <w:pStyle w:val="0"/>
        <w:jc w:val="both"/>
      </w:pPr>
      <w:r>
        <w:rPr>
          <w:sz w:val="20"/>
        </w:rPr>
      </w:r>
    </w:p>
    <w:p>
      <w:pPr>
        <w:pStyle w:val="2"/>
        <w:outlineLvl w:val="2"/>
        <w:jc w:val="center"/>
      </w:pPr>
      <w:r>
        <w:rPr>
          <w:sz w:val="20"/>
        </w:rPr>
        <w:t xml:space="preserve">Капитальный ремонт жилищного фонда</w:t>
      </w:r>
    </w:p>
    <w:p>
      <w:pPr>
        <w:pStyle w:val="0"/>
        <w:jc w:val="both"/>
      </w:pPr>
      <w:r>
        <w:rPr>
          <w:sz w:val="20"/>
        </w:rPr>
      </w:r>
    </w:p>
    <w:p>
      <w:pPr>
        <w:pStyle w:val="0"/>
        <w:ind w:firstLine="540"/>
        <w:jc w:val="both"/>
      </w:pPr>
      <w:r>
        <w:rPr>
          <w:sz w:val="20"/>
        </w:rPr>
        <w:t xml:space="preserve">Вызовами являются:</w:t>
      </w:r>
    </w:p>
    <w:p>
      <w:pPr>
        <w:pStyle w:val="0"/>
        <w:spacing w:before="200" w:lineRule="auto"/>
        <w:ind w:firstLine="540"/>
        <w:jc w:val="both"/>
      </w:pPr>
      <w:r>
        <w:rPr>
          <w:sz w:val="20"/>
        </w:rPr>
        <w:t xml:space="preserve">неэффективное использование аккумулируемых гражданами взносов на капитальный ремонт ввиду недостаточного качества планирования, организации и исполнения работ по капитальному ремонту;</w:t>
      </w:r>
    </w:p>
    <w:p>
      <w:pPr>
        <w:pStyle w:val="0"/>
        <w:spacing w:before="200" w:lineRule="auto"/>
        <w:ind w:firstLine="540"/>
        <w:jc w:val="both"/>
      </w:pPr>
      <w:r>
        <w:rPr>
          <w:sz w:val="20"/>
        </w:rPr>
        <w:t xml:space="preserve">отсутствие системы технического учета жилищного фонда;</w:t>
      </w:r>
    </w:p>
    <w:p>
      <w:pPr>
        <w:pStyle w:val="0"/>
        <w:spacing w:before="200" w:lineRule="auto"/>
        <w:ind w:firstLine="540"/>
        <w:jc w:val="both"/>
      </w:pPr>
      <w:r>
        <w:rPr>
          <w:sz w:val="20"/>
        </w:rPr>
        <w:t xml:space="preserve">недостаточное финансовое обеспечение региональных программ капитального ремонта субъектов Российской Федерации;</w:t>
      </w:r>
    </w:p>
    <w:p>
      <w:pPr>
        <w:pStyle w:val="0"/>
        <w:spacing w:before="200" w:lineRule="auto"/>
        <w:ind w:firstLine="540"/>
        <w:jc w:val="both"/>
      </w:pPr>
      <w:r>
        <w:rPr>
          <w:sz w:val="20"/>
        </w:rPr>
        <w:t xml:space="preserve">недостаточный объем работ по капитальному ремонту многоквартирных домов - объектов культурного наследия (памятников истории и культуры) народов Российской Федерации (далее - объекты культурного наследия), работ по замене лифтов в многоквартирных домах.</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создание эффективного механизма технического учета жилищного фонда, в том числе позволяющего формировать достоверную информацию о составе жилищного фонда, его состоянии, уровне благоустройства и изменении этих показателей;</w:t>
      </w:r>
    </w:p>
    <w:p>
      <w:pPr>
        <w:pStyle w:val="0"/>
        <w:spacing w:before="200" w:lineRule="auto"/>
        <w:ind w:firstLine="540"/>
        <w:jc w:val="both"/>
      </w:pPr>
      <w:r>
        <w:rPr>
          <w:sz w:val="20"/>
        </w:rPr>
        <w:t xml:space="preserve">формирование региональных программ капитального ремонта и краткосрочных планов капитального ремонта общего имущества в многоквартирных домах исходя из их фактического технического состояния (по необходимости);</w:t>
      </w:r>
    </w:p>
    <w:p>
      <w:pPr>
        <w:pStyle w:val="0"/>
        <w:spacing w:before="200" w:lineRule="auto"/>
        <w:ind w:firstLine="540"/>
        <w:jc w:val="both"/>
      </w:pPr>
      <w:r>
        <w:rPr>
          <w:sz w:val="20"/>
        </w:rPr>
        <w:t xml:space="preserve">определение механизмов, позволяющих проводить капитальный ремонт объектов культурного наследия и работы по замене лифтового оборудования в многоквартирных домах;</w:t>
      </w:r>
    </w:p>
    <w:p>
      <w:pPr>
        <w:pStyle w:val="0"/>
        <w:spacing w:before="200" w:lineRule="auto"/>
        <w:ind w:firstLine="540"/>
        <w:jc w:val="both"/>
      </w:pPr>
      <w:r>
        <w:rPr>
          <w:sz w:val="20"/>
        </w:rPr>
        <w:t xml:space="preserve">установление единых требований к формированию и реализации региональных программ капитального ремонта, в том числе обеспечивающих возможность их синхронизации с мероприятиями по модернизации коммунальной инфраструктуры;</w:t>
      </w:r>
    </w:p>
    <w:p>
      <w:pPr>
        <w:pStyle w:val="0"/>
        <w:spacing w:before="200" w:lineRule="auto"/>
        <w:ind w:firstLine="540"/>
        <w:jc w:val="both"/>
      </w:pPr>
      <w:r>
        <w:rPr>
          <w:sz w:val="20"/>
        </w:rPr>
        <w:t xml:space="preserve">повышение эффективности использования средств фондов капитального ремонта и обеспечение финансовой устойчивости региональных программ капитального ремонта, в том числе за счет формирования дополнительных источников их финансирования.</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совершенствование законодательства Российской Федерации в области учета технического состояния многоквартирных домов, организация системы сбора и обобщения информации о технических характеристиках и состоянии жилищного фонда, содержащейся в Едином государственном реестре недвижимости и в электронном паспорте многоквартирного дома, формируемом в государственной информационной системе жилищно-коммунального хозяйства;</w:t>
      </w:r>
    </w:p>
    <w:p>
      <w:pPr>
        <w:pStyle w:val="0"/>
        <w:spacing w:before="200" w:lineRule="auto"/>
        <w:ind w:firstLine="540"/>
        <w:jc w:val="both"/>
      </w:pPr>
      <w:r>
        <w:rPr>
          <w:sz w:val="20"/>
        </w:rPr>
        <w:t xml:space="preserve">модернизация информационных систем для учета актуального технического состояния многоквартирного дома, а также для оценки удовлетворенности граждан проведенными работами по капитальному ремонту;</w:t>
      </w:r>
    </w:p>
    <w:p>
      <w:pPr>
        <w:pStyle w:val="0"/>
        <w:spacing w:before="200" w:lineRule="auto"/>
        <w:ind w:firstLine="540"/>
        <w:jc w:val="both"/>
      </w:pPr>
      <w:r>
        <w:rPr>
          <w:sz w:val="20"/>
        </w:rPr>
        <w:t xml:space="preserve">создание механизма корректировки региональных программ капитального ремонта с учетом действительного технического состояния многоквартирных домов;</w:t>
      </w:r>
    </w:p>
    <w:p>
      <w:pPr>
        <w:pStyle w:val="0"/>
        <w:spacing w:before="200" w:lineRule="auto"/>
        <w:ind w:firstLine="540"/>
        <w:jc w:val="both"/>
      </w:pPr>
      <w:r>
        <w:rPr>
          <w:sz w:val="20"/>
        </w:rPr>
        <w:t xml:space="preserve">установление на федеральном уровне единых требований к формированию и реализации региональных программ капитального ремонта, разработка и внедрение единой технической и ценовой политики для региональных операторов, уточнение квалификационных требований к отбору подрядных организаций, привлекаемых для проведения капитального ремонта общего имущества в многоквартирных домах;</w:t>
      </w:r>
    </w:p>
    <w:p>
      <w:pPr>
        <w:pStyle w:val="0"/>
        <w:spacing w:before="200" w:lineRule="auto"/>
        <w:ind w:firstLine="540"/>
        <w:jc w:val="both"/>
      </w:pPr>
      <w:r>
        <w:rPr>
          <w:sz w:val="20"/>
        </w:rPr>
        <w:t xml:space="preserve">уточнение правил проведения капитального ремонта общего имущества в многоквартирных домах в части порядка выбора видов работ исходя из технического состояния дома, определенного на основании результатов его технического обследования;</w:t>
      </w:r>
    </w:p>
    <w:p>
      <w:pPr>
        <w:pStyle w:val="0"/>
        <w:spacing w:before="200" w:lineRule="auto"/>
        <w:ind w:firstLine="540"/>
        <w:jc w:val="both"/>
      </w:pPr>
      <w:r>
        <w:rPr>
          <w:sz w:val="20"/>
        </w:rPr>
        <w:t xml:space="preserve">совершенствование механизма использования средств на специальных счетах, предназначенных для перечисления средств на проведение капитального ремонта общего имущества в многоквартирном доме;</w:t>
      </w:r>
    </w:p>
    <w:p>
      <w:pPr>
        <w:pStyle w:val="0"/>
        <w:spacing w:before="200" w:lineRule="auto"/>
        <w:ind w:firstLine="540"/>
        <w:jc w:val="both"/>
      </w:pPr>
      <w:r>
        <w:rPr>
          <w:sz w:val="20"/>
        </w:rPr>
        <w:t xml:space="preserve">создание механизма увеличения объема средств, направляемых ежегодно на проведение капитального ремонта;</w:t>
      </w:r>
    </w:p>
    <w:p>
      <w:pPr>
        <w:pStyle w:val="0"/>
        <w:spacing w:before="200" w:lineRule="auto"/>
        <w:ind w:firstLine="540"/>
        <w:jc w:val="both"/>
      </w:pPr>
      <w:r>
        <w:rPr>
          <w:sz w:val="20"/>
        </w:rPr>
        <w:t xml:space="preserve">установление особого порядка финансирования капитального ремонта многоквартирных домов, являющихся объектами культурного наследия, с привлечением средств федерального, регионального и местного бюджетов в зависимости от категории объекта культурного наследия;</w:t>
      </w:r>
    </w:p>
    <w:p>
      <w:pPr>
        <w:pStyle w:val="0"/>
        <w:spacing w:before="200" w:lineRule="auto"/>
        <w:ind w:firstLine="540"/>
        <w:jc w:val="both"/>
      </w:pPr>
      <w:r>
        <w:rPr>
          <w:sz w:val="20"/>
        </w:rPr>
        <w:t xml:space="preserve">синхронизация мероприятий региональных программ капитального ремонта с планами модернизации коммунальной инфраструктуры в рамках комплекса инструментов, предусмотренных федеральным проектом "Инфраструктурное меню".</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создана система технического учета жилищного фонда;</w:t>
      </w:r>
    </w:p>
    <w:p>
      <w:pPr>
        <w:pStyle w:val="0"/>
        <w:spacing w:before="200" w:lineRule="auto"/>
        <w:ind w:firstLine="540"/>
        <w:jc w:val="both"/>
      </w:pPr>
      <w:r>
        <w:rPr>
          <w:sz w:val="20"/>
        </w:rPr>
        <w:t xml:space="preserve">на постоянной основе осуществляется актуализация данных о техническом состоянии многоквартирных домов для их использования в целях планирования своевременного капитального ремонта;</w:t>
      </w:r>
    </w:p>
    <w:p>
      <w:pPr>
        <w:pStyle w:val="0"/>
        <w:spacing w:before="200" w:lineRule="auto"/>
        <w:ind w:firstLine="540"/>
        <w:jc w:val="both"/>
      </w:pPr>
      <w:r>
        <w:rPr>
          <w:sz w:val="20"/>
        </w:rPr>
        <w:t xml:space="preserve">работы по капитальному ремонту осуществляются с учетом результатов технического обследования многоквартирных домов;</w:t>
      </w:r>
    </w:p>
    <w:p>
      <w:pPr>
        <w:pStyle w:val="0"/>
        <w:spacing w:before="200" w:lineRule="auto"/>
        <w:ind w:firstLine="540"/>
        <w:jc w:val="both"/>
      </w:pPr>
      <w:r>
        <w:rPr>
          <w:sz w:val="20"/>
        </w:rPr>
        <w:t xml:space="preserve">на федеральном уровне установлены единые требования к формированию и реализации региональных программ капитального ремонта;</w:t>
      </w:r>
    </w:p>
    <w:p>
      <w:pPr>
        <w:pStyle w:val="0"/>
        <w:spacing w:before="200" w:lineRule="auto"/>
        <w:ind w:firstLine="540"/>
        <w:jc w:val="both"/>
      </w:pPr>
      <w:r>
        <w:rPr>
          <w:sz w:val="20"/>
        </w:rPr>
        <w:t xml:space="preserve">утверждена единая техническая и ценовая политика для региональных операторов;</w:t>
      </w:r>
    </w:p>
    <w:p>
      <w:pPr>
        <w:pStyle w:val="0"/>
        <w:spacing w:before="200" w:lineRule="auto"/>
        <w:ind w:firstLine="540"/>
        <w:jc w:val="both"/>
      </w:pPr>
      <w:r>
        <w:rPr>
          <w:sz w:val="20"/>
        </w:rPr>
        <w:t xml:space="preserve">усовершенствован механизм использования средств на специальных счетах, предназначенных для перечисления средств на проведение капитального ремонта общего имущества в многоквартирном доме;</w:t>
      </w:r>
    </w:p>
    <w:p>
      <w:pPr>
        <w:pStyle w:val="0"/>
        <w:spacing w:before="200" w:lineRule="auto"/>
        <w:ind w:firstLine="540"/>
        <w:jc w:val="both"/>
      </w:pPr>
      <w:r>
        <w:rPr>
          <w:sz w:val="20"/>
        </w:rPr>
        <w:t xml:space="preserve">запущен сервис мониторинга удовлетворенности граждан проведенным капитальным ремонтом в многоквартирных домах;</w:t>
      </w:r>
    </w:p>
    <w:p>
      <w:pPr>
        <w:pStyle w:val="0"/>
        <w:spacing w:before="200" w:lineRule="auto"/>
        <w:ind w:firstLine="540"/>
        <w:jc w:val="both"/>
      </w:pPr>
      <w:r>
        <w:rPr>
          <w:sz w:val="20"/>
        </w:rPr>
        <w:t xml:space="preserve">лифты в многоквартирных домах соответствуют требованиям технического </w:t>
      </w:r>
      <w:r>
        <w:rPr>
          <w:sz w:val="20"/>
        </w:rPr>
        <w:t xml:space="preserve">регламента</w:t>
      </w:r>
      <w:r>
        <w:rPr>
          <w:sz w:val="20"/>
        </w:rPr>
        <w:t xml:space="preserve"> Таможенного союза "Безопасность лифтов".</w:t>
      </w:r>
    </w:p>
    <w:p>
      <w:pPr>
        <w:pStyle w:val="0"/>
        <w:jc w:val="both"/>
      </w:pPr>
      <w:r>
        <w:rPr>
          <w:sz w:val="20"/>
        </w:rPr>
      </w:r>
    </w:p>
    <w:p>
      <w:pPr>
        <w:pStyle w:val="2"/>
        <w:outlineLvl w:val="2"/>
        <w:jc w:val="center"/>
      </w:pPr>
      <w:r>
        <w:rPr>
          <w:sz w:val="20"/>
        </w:rPr>
        <w:t xml:space="preserve">Коммунальная инфраструктура</w:t>
      </w:r>
    </w:p>
    <w:p>
      <w:pPr>
        <w:pStyle w:val="0"/>
        <w:jc w:val="both"/>
      </w:pPr>
      <w:r>
        <w:rPr>
          <w:sz w:val="20"/>
        </w:rPr>
      </w:r>
    </w:p>
    <w:p>
      <w:pPr>
        <w:pStyle w:val="2"/>
        <w:outlineLvl w:val="3"/>
        <w:jc w:val="center"/>
      </w:pPr>
      <w:r>
        <w:rPr>
          <w:sz w:val="20"/>
        </w:rPr>
        <w:t xml:space="preserve">Теплоснабжение</w:t>
      </w:r>
    </w:p>
    <w:p>
      <w:pPr>
        <w:pStyle w:val="0"/>
        <w:jc w:val="both"/>
      </w:pPr>
      <w:r>
        <w:rPr>
          <w:sz w:val="20"/>
        </w:rPr>
      </w:r>
    </w:p>
    <w:p>
      <w:pPr>
        <w:pStyle w:val="0"/>
        <w:ind w:firstLine="540"/>
        <w:jc w:val="both"/>
      </w:pPr>
      <w:r>
        <w:rPr>
          <w:sz w:val="20"/>
        </w:rPr>
        <w:t xml:space="preserve">Текущее состояние систем централизованного теплоснабжения характеризуется недостаточными показателями надежности, энергоэффективности и экологичности, в связи с чем необходимо обеспечить масштабную модернизацию действующих мощностей, в том числе посредством технического перевооружения и перевода отопительных котельных на экологичные и энергоэффективные виды топлива. Важно также полностью и своевременно обеспечивать требуемую тепловую нагрузку перспективных объектов капитального строительства.</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рост изношенности и аварийности объектов теплосетевого комплекса. При существующем удельном весе сетей теплоснабжения, нуждающихся в замене, составляющем около 30 процентов, фактически ежегодно обновляется только 1,5 - 2,2 процента;</w:t>
      </w:r>
    </w:p>
    <w:p>
      <w:pPr>
        <w:pStyle w:val="0"/>
        <w:spacing w:before="200" w:lineRule="auto"/>
        <w:ind w:firstLine="540"/>
        <w:jc w:val="both"/>
      </w:pPr>
      <w:r>
        <w:rPr>
          <w:sz w:val="20"/>
        </w:rPr>
        <w:t xml:space="preserve">высокий уровень потерь тепловой энергии при выработке и передаче конечному потребителю;</w:t>
      </w:r>
    </w:p>
    <w:p>
      <w:pPr>
        <w:pStyle w:val="0"/>
        <w:spacing w:before="200" w:lineRule="auto"/>
        <w:ind w:firstLine="540"/>
        <w:jc w:val="both"/>
      </w:pPr>
      <w:r>
        <w:rPr>
          <w:sz w:val="20"/>
        </w:rPr>
        <w:t xml:space="preserve">эксплуатация неэффективных отопительных котельных, использующих твердые и жидкие виды топлива. В значительной степени убыточность таких отопительных котельных связана с ростом стоимости используемого топлива. В структуре себестоимости предприятий тепловой генерации расходы на закупку топлива варьируются в диапазоне 50 - 65 процентов в зависимости от источника теплоснабжения;</w:t>
      </w:r>
    </w:p>
    <w:p>
      <w:pPr>
        <w:pStyle w:val="0"/>
        <w:spacing w:before="200" w:lineRule="auto"/>
        <w:ind w:firstLine="540"/>
        <w:jc w:val="both"/>
      </w:pPr>
      <w:r>
        <w:rPr>
          <w:sz w:val="20"/>
        </w:rPr>
        <w:t xml:space="preserve">дефицит источников финансирования (тарифных, нетарифных, внебюджетных) для обеспечения необходимых темпов модернизации систем централизованного теплоснабжения.</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доведение темпов замены сетей теплоснабжения до уровня не менее 5 процентов в год;</w:t>
      </w:r>
    </w:p>
    <w:p>
      <w:pPr>
        <w:pStyle w:val="0"/>
        <w:spacing w:before="200" w:lineRule="auto"/>
        <w:ind w:firstLine="540"/>
        <w:jc w:val="both"/>
      </w:pPr>
      <w:r>
        <w:rPr>
          <w:sz w:val="20"/>
        </w:rPr>
        <w:t xml:space="preserve">повышение эффективности тарифных источников финансирования капитальных затрат и бюджетных инвестиций, повышение инвестиционной привлекательности отрасли для частных компаний;</w:t>
      </w:r>
    </w:p>
    <w:p>
      <w:pPr>
        <w:pStyle w:val="0"/>
        <w:spacing w:before="200" w:lineRule="auto"/>
        <w:ind w:firstLine="540"/>
        <w:jc w:val="both"/>
      </w:pPr>
      <w:r>
        <w:rPr>
          <w:sz w:val="20"/>
        </w:rPr>
        <w:t xml:space="preserve">снижение потерь, повышение энергетической эффективности сферы теплоснабжения и снижение аварийности на сетях теплоснабжения и объектах капитального строительства сферы теплоснабжения.</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проведение оценки состояния систем теплоснабжения на постоянной основе;</w:t>
      </w:r>
    </w:p>
    <w:p>
      <w:pPr>
        <w:pStyle w:val="0"/>
        <w:spacing w:before="200" w:lineRule="auto"/>
        <w:ind w:firstLine="540"/>
        <w:jc w:val="both"/>
      </w:pPr>
      <w:r>
        <w:rPr>
          <w:sz w:val="20"/>
        </w:rPr>
        <w:t xml:space="preserve">введение требования об обязательном наличии инвестиционной программы ресурсоснабжающей организации, в случае если схемой теплоснабжения предусмотрены мероприятия по развитию ресурсоснабжающей организации;</w:t>
      </w:r>
    </w:p>
    <w:p>
      <w:pPr>
        <w:pStyle w:val="0"/>
        <w:spacing w:before="200" w:lineRule="auto"/>
        <w:ind w:firstLine="540"/>
        <w:jc w:val="both"/>
      </w:pPr>
      <w:r>
        <w:rPr>
          <w:sz w:val="20"/>
        </w:rPr>
        <w:t xml:space="preserve">разработка методики расчета экономического эффекта при проведении инвестиционных мероприятий и внесение соответствующих корректировок в </w:t>
      </w:r>
      <w:r>
        <w:rPr>
          <w:sz w:val="20"/>
        </w:rPr>
        <w:t xml:space="preserve">Основы</w:t>
      </w:r>
      <w:r>
        <w:rPr>
          <w:sz w:val="20"/>
        </w:rPr>
        <w:t xml:space="preserve"> ценообразования в сфере теплоснабжения, утвержденные постановлением Правительства Российской Федерации от 22 октября 2012 г. N 1075 "О ценообразовании в сфере теплоснабжения";</w:t>
      </w:r>
    </w:p>
    <w:p>
      <w:pPr>
        <w:pStyle w:val="0"/>
        <w:spacing w:before="200" w:lineRule="auto"/>
        <w:ind w:firstLine="540"/>
        <w:jc w:val="both"/>
      </w:pPr>
      <w:r>
        <w:rPr>
          <w:sz w:val="20"/>
        </w:rPr>
        <w:t xml:space="preserve">утверждение правил и методик контроля учета амортизационных отчислений в отношении объектов жилищно-коммунального хозяйства как источников финансирования мероприятий инвестиционных программ организаций, осуществляющих регулируемые виды деятельности в сфере теплоснабжения, осуществляемого органами регулирования тарифов и органами власти, уполномоченными на утверждение таких инвестиционных программ. Приоритетом использования амортизационных отчислений (с учетом недосбора платежей за коммунальные услуги) должно быть полное и своевременное восстановление или новое строительство объектов жилищно-коммунального хозяйства, за исключением случаев, когда за счет таких отчислений осуществляется возврат вложенного инвестором собственного капитала, заемного капитала и расходов на его обслуживание (кроме финансирования мероприятий в полном объеме за счет бюджетных инвестиций);</w:t>
      </w:r>
    </w:p>
    <w:p>
      <w:pPr>
        <w:pStyle w:val="0"/>
        <w:spacing w:before="200" w:lineRule="auto"/>
        <w:ind w:firstLine="540"/>
        <w:jc w:val="both"/>
      </w:pPr>
      <w:r>
        <w:rPr>
          <w:sz w:val="20"/>
        </w:rPr>
        <w:t xml:space="preserve">обновление объектов теплоснабжения посредством реализации программы модернизации коммунальной инфраструктуры на период 2023 - 2027 годов с прогнозом до 2030 года в рамках комплекса инструментов, предусмотренных федеральным проектом "Инфраструктурное меню";</w:t>
      </w:r>
    </w:p>
    <w:p>
      <w:pPr>
        <w:pStyle w:val="0"/>
        <w:spacing w:before="200" w:lineRule="auto"/>
        <w:ind w:firstLine="540"/>
        <w:jc w:val="both"/>
      </w:pPr>
      <w:r>
        <w:rPr>
          <w:sz w:val="20"/>
        </w:rPr>
        <w:t xml:space="preserve">повышение качества схем теплоснабжения, разрабатываемых организациями, осуществляющими деятельность в сфере теплоснабжения;</w:t>
      </w:r>
    </w:p>
    <w:p>
      <w:pPr>
        <w:pStyle w:val="0"/>
        <w:spacing w:before="200" w:lineRule="auto"/>
        <w:ind w:firstLine="540"/>
        <w:jc w:val="both"/>
      </w:pPr>
      <w:r>
        <w:rPr>
          <w:sz w:val="20"/>
        </w:rPr>
        <w:t xml:space="preserve">стимулирующие меры, направленные на повышение эффективности управления предприятиями сферы теплоснабжения;</w:t>
      </w:r>
    </w:p>
    <w:p>
      <w:pPr>
        <w:pStyle w:val="0"/>
        <w:spacing w:before="200" w:lineRule="auto"/>
        <w:ind w:firstLine="540"/>
        <w:jc w:val="both"/>
      </w:pPr>
      <w:r>
        <w:rPr>
          <w:sz w:val="20"/>
        </w:rPr>
        <w:t xml:space="preserve">разработка подходов к долгосрочному планированию расходования средств застройщика в виде платы за подключение (технологическое присоединение) объектов капитального строительства к сетям инженерно-технического обеспечения как источника финансирования мероприятий по развитию системы теплоснабжения;</w:t>
      </w:r>
    </w:p>
    <w:p>
      <w:pPr>
        <w:pStyle w:val="0"/>
        <w:spacing w:before="200" w:lineRule="auto"/>
        <w:ind w:firstLine="540"/>
        <w:jc w:val="both"/>
      </w:pPr>
      <w:r>
        <w:rPr>
          <w:sz w:val="20"/>
        </w:rPr>
        <w:t xml:space="preserve">разработка мер стимулирования привлечения внебюджетных источников финансирования для реализации мероприятий по модернизации и развитию инфраструктуры в сфере теплоснабжения;</w:t>
      </w:r>
    </w:p>
    <w:p>
      <w:pPr>
        <w:pStyle w:val="0"/>
        <w:spacing w:before="200" w:lineRule="auto"/>
        <w:ind w:firstLine="540"/>
        <w:jc w:val="both"/>
      </w:pPr>
      <w:r>
        <w:rPr>
          <w:sz w:val="20"/>
        </w:rPr>
        <w:t xml:space="preserve">популяризация и приоритетное внедрение новой системы отношений по методу "альтернативной котельной" в городах с высоким уровнем износа объектов теплоснабжения.</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ежегодное снижение уровня потерь тепловой энергии и аварийности на тепловых сетях, в том числе за счет увеличенного темпа обновления объектов теплосетевой инфраструктуры;</w:t>
      </w:r>
    </w:p>
    <w:p>
      <w:pPr>
        <w:pStyle w:val="0"/>
        <w:spacing w:before="200" w:lineRule="auto"/>
        <w:ind w:firstLine="540"/>
        <w:jc w:val="both"/>
      </w:pPr>
      <w:r>
        <w:rPr>
          <w:sz w:val="20"/>
        </w:rPr>
        <w:t xml:space="preserve">улучшение показателей надежности и энергоэффективности систем теплоснабжения, в том числе снижение удельного расхода топлива, увеличение доли использования в виде топлива природного и сжиженного газа;</w:t>
      </w:r>
    </w:p>
    <w:p>
      <w:pPr>
        <w:pStyle w:val="0"/>
        <w:spacing w:before="200" w:lineRule="auto"/>
        <w:ind w:firstLine="540"/>
        <w:jc w:val="both"/>
      </w:pPr>
      <w:r>
        <w:rPr>
          <w:sz w:val="20"/>
        </w:rPr>
        <w:t xml:space="preserve">развитие магистральных и распределительных сетей теплоснабжения, в том числе для надежного и качественного обеспечения потребностей нового жилищного строительства;</w:t>
      </w:r>
    </w:p>
    <w:p>
      <w:pPr>
        <w:pStyle w:val="0"/>
        <w:spacing w:before="200" w:lineRule="auto"/>
        <w:ind w:firstLine="540"/>
        <w:jc w:val="both"/>
      </w:pPr>
      <w:r>
        <w:rPr>
          <w:sz w:val="20"/>
        </w:rPr>
        <w:t xml:space="preserve">повышение эффективности муниципальных унитарных предприятий, эксплуатирующих отопительные котельные;</w:t>
      </w:r>
    </w:p>
    <w:p>
      <w:pPr>
        <w:pStyle w:val="0"/>
        <w:spacing w:before="200" w:lineRule="auto"/>
        <w:ind w:firstLine="540"/>
        <w:jc w:val="both"/>
      </w:pPr>
      <w:r>
        <w:rPr>
          <w:sz w:val="20"/>
        </w:rPr>
        <w:t xml:space="preserve">доля привлеченных средств, в том числе средств частных инвесторов, а также средств, привлекаемых субъектами Российской Федерации на возвратной основе, в общем объеме капитальных вложений в системы теплоснабжения за весь период реализации Стратегии составит не менее 30 процентов.</w:t>
      </w:r>
    </w:p>
    <w:p>
      <w:pPr>
        <w:pStyle w:val="0"/>
        <w:jc w:val="both"/>
      </w:pPr>
      <w:r>
        <w:rPr>
          <w:sz w:val="20"/>
        </w:rPr>
      </w:r>
    </w:p>
    <w:p>
      <w:pPr>
        <w:pStyle w:val="2"/>
        <w:outlineLvl w:val="3"/>
        <w:jc w:val="center"/>
      </w:pPr>
      <w:r>
        <w:rPr>
          <w:sz w:val="20"/>
        </w:rPr>
        <w:t xml:space="preserve">Водоснабжение</w:t>
      </w:r>
    </w:p>
    <w:p>
      <w:pPr>
        <w:pStyle w:val="0"/>
        <w:jc w:val="both"/>
      </w:pPr>
      <w:r>
        <w:rPr>
          <w:sz w:val="20"/>
        </w:rPr>
      </w:r>
    </w:p>
    <w:p>
      <w:pPr>
        <w:pStyle w:val="0"/>
        <w:ind w:firstLine="540"/>
        <w:jc w:val="both"/>
      </w:pPr>
      <w:r>
        <w:rPr>
          <w:sz w:val="20"/>
        </w:rPr>
        <w:t xml:space="preserve">Задачами в сфере водоснабжения являются надежное обеспечение потребителей качественной питьевой водой, а также снижение неконтролируемого аварийного износа сетей водоснабжения, приводящего к большим потерям.</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высокий уровень накопленного износа основных фондов и сетевого хозяйства в сфере водоснабжения, не позволяющий предоставить потребителям питьевую воду, удовлетворяющую нормативным требованиям;</w:t>
      </w:r>
    </w:p>
    <w:p>
      <w:pPr>
        <w:pStyle w:val="0"/>
        <w:spacing w:before="200" w:lineRule="auto"/>
        <w:ind w:firstLine="540"/>
        <w:jc w:val="both"/>
      </w:pPr>
      <w:r>
        <w:rPr>
          <w:sz w:val="20"/>
        </w:rPr>
        <w:t xml:space="preserve">высокий уровень потерь на сетях водоснабжения, в том числе в связи с наличием незаконных подключений;</w:t>
      </w:r>
    </w:p>
    <w:p>
      <w:pPr>
        <w:pStyle w:val="0"/>
        <w:spacing w:before="200" w:lineRule="auto"/>
        <w:ind w:firstLine="540"/>
        <w:jc w:val="both"/>
      </w:pPr>
      <w:r>
        <w:rPr>
          <w:sz w:val="20"/>
        </w:rPr>
        <w:t xml:space="preserve">низкий уровень обеспеченности сельского населения качественной питьевой водой;</w:t>
      </w:r>
    </w:p>
    <w:p>
      <w:pPr>
        <w:pStyle w:val="0"/>
        <w:spacing w:before="200" w:lineRule="auto"/>
        <w:ind w:firstLine="540"/>
        <w:jc w:val="both"/>
      </w:pPr>
      <w:r>
        <w:rPr>
          <w:sz w:val="20"/>
        </w:rPr>
        <w:t xml:space="preserve">низкая инвестиционная привлекательность отрасли, обусловленная дефицитом тарифных источников финансирования капитальных вложений.</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обеспечение потребителей качественной питьевой водой;</w:t>
      </w:r>
    </w:p>
    <w:p>
      <w:pPr>
        <w:pStyle w:val="0"/>
        <w:spacing w:before="200" w:lineRule="auto"/>
        <w:ind w:firstLine="540"/>
        <w:jc w:val="both"/>
      </w:pPr>
      <w:r>
        <w:rPr>
          <w:sz w:val="20"/>
        </w:rPr>
        <w:t xml:space="preserve">доведение доли сельского населения, обеспеченного качественной питьевой водой, до уровня доли городского населения, обеспеченного качественной питьевой водой;</w:t>
      </w:r>
    </w:p>
    <w:p>
      <w:pPr>
        <w:pStyle w:val="0"/>
        <w:spacing w:before="200" w:lineRule="auto"/>
        <w:ind w:firstLine="540"/>
        <w:jc w:val="both"/>
      </w:pPr>
      <w:r>
        <w:rPr>
          <w:sz w:val="20"/>
        </w:rPr>
        <w:t xml:space="preserve">повышение темпов замены сетей водоснабжения до уровня не менее 5 процентов в год;</w:t>
      </w:r>
    </w:p>
    <w:p>
      <w:pPr>
        <w:pStyle w:val="0"/>
        <w:spacing w:before="200" w:lineRule="auto"/>
        <w:ind w:firstLine="540"/>
        <w:jc w:val="both"/>
      </w:pPr>
      <w:r>
        <w:rPr>
          <w:sz w:val="20"/>
        </w:rPr>
        <w:t xml:space="preserve">сокращение нормативных и коммерческих потерь на сетях водоснабжения, снижение уровня аварийности на сетях и объектах водоснабжения;</w:t>
      </w:r>
    </w:p>
    <w:p>
      <w:pPr>
        <w:pStyle w:val="0"/>
        <w:spacing w:before="200" w:lineRule="auto"/>
        <w:ind w:firstLine="540"/>
        <w:jc w:val="both"/>
      </w:pPr>
      <w:r>
        <w:rPr>
          <w:sz w:val="20"/>
        </w:rPr>
        <w:t xml:space="preserve">повышение качества разработки схем водоснабжения в части их соответствия требованиям действующего законодательства Российской Федерации;</w:t>
      </w:r>
    </w:p>
    <w:p>
      <w:pPr>
        <w:pStyle w:val="0"/>
        <w:spacing w:before="200" w:lineRule="auto"/>
        <w:ind w:firstLine="540"/>
        <w:jc w:val="both"/>
      </w:pPr>
      <w:r>
        <w:rPr>
          <w:sz w:val="20"/>
        </w:rPr>
        <w:t xml:space="preserve">разработка мер стимулирования привлечения внебюджетных источников финансирования для реализации мероприятий по модернизации и развитию инфраструктуры в сфере водоснабжения.</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проведение оценки состояния централизованных систем водоснабжения на постоянной основе;</w:t>
      </w:r>
    </w:p>
    <w:p>
      <w:pPr>
        <w:pStyle w:val="0"/>
        <w:spacing w:before="200" w:lineRule="auto"/>
        <w:ind w:firstLine="540"/>
        <w:jc w:val="both"/>
      </w:pPr>
      <w:r>
        <w:rPr>
          <w:sz w:val="20"/>
        </w:rPr>
        <w:t xml:space="preserve">введение требования о ежегодной актуализации схем водоснабжения и водоотведения, передача полномочий по их утверждению на уровень субъекта Российской Федерации;</w:t>
      </w:r>
    </w:p>
    <w:p>
      <w:pPr>
        <w:pStyle w:val="0"/>
        <w:spacing w:before="200" w:lineRule="auto"/>
        <w:ind w:firstLine="540"/>
        <w:jc w:val="both"/>
      </w:pPr>
      <w:r>
        <w:rPr>
          <w:sz w:val="20"/>
        </w:rPr>
        <w:t xml:space="preserve">разработка и реализация комплексного плана по повышению обеспеченности сельского населения качественной питьевой водой;</w:t>
      </w:r>
    </w:p>
    <w:p>
      <w:pPr>
        <w:pStyle w:val="0"/>
        <w:spacing w:before="200" w:lineRule="auto"/>
        <w:ind w:firstLine="540"/>
        <w:jc w:val="both"/>
      </w:pPr>
      <w:r>
        <w:rPr>
          <w:sz w:val="20"/>
        </w:rPr>
        <w:t xml:space="preserve">отказ от разработки и утверждения производственных программ ресурсоснабжающей организации в пользу обязательного наличия инвестиционной программы ресурсоснабжающей организации;</w:t>
      </w:r>
    </w:p>
    <w:p>
      <w:pPr>
        <w:pStyle w:val="0"/>
        <w:spacing w:before="200" w:lineRule="auto"/>
        <w:ind w:firstLine="540"/>
        <w:jc w:val="both"/>
      </w:pPr>
      <w:r>
        <w:rPr>
          <w:sz w:val="20"/>
        </w:rPr>
        <w:t xml:space="preserve">стимулирование увеличения объема и доли внебюджетных источников финансирования реализации мероприятий по модернизации и развитию инфраструктуры в сфере водоснабжения;</w:t>
      </w:r>
    </w:p>
    <w:p>
      <w:pPr>
        <w:pStyle w:val="0"/>
        <w:spacing w:before="200" w:lineRule="auto"/>
        <w:ind w:firstLine="540"/>
        <w:jc w:val="both"/>
      </w:pPr>
      <w:r>
        <w:rPr>
          <w:sz w:val="20"/>
        </w:rPr>
        <w:t xml:space="preserve">создание упрощенного механизма передачи бесхозяйных объектов и сетей водоснабжения в государственную (муниципальную) собственность;</w:t>
      </w:r>
    </w:p>
    <w:p>
      <w:pPr>
        <w:pStyle w:val="0"/>
        <w:spacing w:before="200" w:lineRule="auto"/>
        <w:ind w:firstLine="540"/>
        <w:jc w:val="both"/>
      </w:pPr>
      <w:r>
        <w:rPr>
          <w:sz w:val="20"/>
        </w:rPr>
        <w:t xml:space="preserve">создание механизмов реализации проектов по модернизации действующих или строительству новых централизованных систем водоснабжения, в том числе на основе принципов государственно-частного партнерства;</w:t>
      </w:r>
    </w:p>
    <w:p>
      <w:pPr>
        <w:pStyle w:val="0"/>
        <w:spacing w:before="200" w:lineRule="auto"/>
        <w:ind w:firstLine="540"/>
        <w:jc w:val="both"/>
      </w:pPr>
      <w:r>
        <w:rPr>
          <w:sz w:val="20"/>
        </w:rPr>
        <w:t xml:space="preserve">обновление объектов водоснабжения посредством реализации программы модернизации коммунальной инфраструктуры на период 2023 - 2027 годов с прогнозом до 2030 года в рамках комплекса инструментов, предусмотренных федеральным проектом "Инфраструктурное меню".</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до 99 процентов увеличена доля населения Российской Федерации, обеспеченного качественной питьевой водой из централизованных источников водоснабжения, в том числе за счет увеличения доли обеспеченности качественной питьевой водой сельского населения;</w:t>
      </w:r>
    </w:p>
    <w:p>
      <w:pPr>
        <w:pStyle w:val="0"/>
        <w:spacing w:before="200" w:lineRule="auto"/>
        <w:ind w:firstLine="540"/>
        <w:jc w:val="both"/>
      </w:pPr>
      <w:r>
        <w:rPr>
          <w:sz w:val="20"/>
        </w:rPr>
        <w:t xml:space="preserve">повышен уровень надежности и эффективности систем водоснабжения, обеспечено сокращение коммерческих и нормативных потерь воды на сетях водоснабжения, снижен уровень аварийности на сетях и объектах водоснабжения;</w:t>
      </w:r>
    </w:p>
    <w:p>
      <w:pPr>
        <w:pStyle w:val="0"/>
        <w:spacing w:before="200" w:lineRule="auto"/>
        <w:ind w:firstLine="540"/>
        <w:jc w:val="both"/>
      </w:pPr>
      <w:r>
        <w:rPr>
          <w:sz w:val="20"/>
        </w:rPr>
        <w:t xml:space="preserve">доля привлеченных средств, в том числе средств частных инвесторов, а также средств, привлекаемых субъектами Российской Федерации на возвратной основе, в общем объеме капитальных вложений в системы водоснабжения за весь период реализации Стратегии составит не менее 30 процентов.</w:t>
      </w:r>
    </w:p>
    <w:p>
      <w:pPr>
        <w:pStyle w:val="0"/>
        <w:jc w:val="both"/>
      </w:pPr>
      <w:r>
        <w:rPr>
          <w:sz w:val="20"/>
        </w:rPr>
      </w:r>
    </w:p>
    <w:p>
      <w:pPr>
        <w:pStyle w:val="2"/>
        <w:outlineLvl w:val="3"/>
        <w:jc w:val="center"/>
      </w:pPr>
      <w:r>
        <w:rPr>
          <w:sz w:val="20"/>
        </w:rPr>
        <w:t xml:space="preserve">Водоотведение</w:t>
      </w:r>
    </w:p>
    <w:p>
      <w:pPr>
        <w:pStyle w:val="0"/>
        <w:jc w:val="both"/>
      </w:pPr>
      <w:r>
        <w:rPr>
          <w:sz w:val="20"/>
        </w:rPr>
      </w:r>
    </w:p>
    <w:p>
      <w:pPr>
        <w:pStyle w:val="0"/>
        <w:ind w:firstLine="540"/>
        <w:jc w:val="both"/>
      </w:pPr>
      <w:r>
        <w:rPr>
          <w:sz w:val="20"/>
        </w:rPr>
        <w:t xml:space="preserve">Задачами в сфере водоотведения являются снижение негативного воздействия на окружающую среду путем повышения качества очистки сточных вод, а также снижение неконтролируемого аварийного износа сетей водоотведения, приводящего к попаданию неочищенных стоков на рельеф местности и в водные объекты.</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высокий уровень накопленного износа основных фондов и сетевого хозяйства организаций в сфере водоотведения, что приводит к загрязнению почв, поверхностных и подземных источников водоснабжения;</w:t>
      </w:r>
    </w:p>
    <w:p>
      <w:pPr>
        <w:pStyle w:val="0"/>
        <w:spacing w:before="200" w:lineRule="auto"/>
        <w:ind w:firstLine="540"/>
        <w:jc w:val="both"/>
      </w:pPr>
      <w:r>
        <w:rPr>
          <w:sz w:val="20"/>
        </w:rPr>
        <w:t xml:space="preserve">отсутствие нормативной работы системы поверхностного водоотвода в населенных пунктах делает невозможным применение механизмов государственно-частного партнерства и привлечение внебюджетных источников финансирования при строительстве (реконструкции) систем поверхностного водоотвода;</w:t>
      </w:r>
    </w:p>
    <w:p>
      <w:pPr>
        <w:pStyle w:val="0"/>
        <w:spacing w:before="200" w:lineRule="auto"/>
        <w:ind w:firstLine="540"/>
        <w:jc w:val="both"/>
      </w:pPr>
      <w:r>
        <w:rPr>
          <w:sz w:val="20"/>
        </w:rPr>
        <w:t xml:space="preserve">недостаточно развиты системы централизованного водоотведения и очистки коммунальных бытовых стоков - около 20 процентов населения проживают в условиях отсутствия централизованных или локальных очистных сооружений, значительное количество социально значимых объектов в малых и средних населенных пунктах не обеспечено системами централизованного водоотведения и очистки бытовых стоков.</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обеспечение сохранности источников питьевого водоснабжения и экологической безопасности водных ресурсов;</w:t>
      </w:r>
    </w:p>
    <w:p>
      <w:pPr>
        <w:pStyle w:val="0"/>
        <w:spacing w:before="200" w:lineRule="auto"/>
        <w:ind w:firstLine="540"/>
        <w:jc w:val="both"/>
      </w:pPr>
      <w:r>
        <w:rPr>
          <w:sz w:val="20"/>
        </w:rPr>
        <w:t xml:space="preserve">повышение темпов замены сетей водоотведения до уровня не менее 5 процентов в год;</w:t>
      </w:r>
    </w:p>
    <w:p>
      <w:pPr>
        <w:pStyle w:val="0"/>
        <w:spacing w:before="200" w:lineRule="auto"/>
        <w:ind w:firstLine="540"/>
        <w:jc w:val="both"/>
      </w:pPr>
      <w:r>
        <w:rPr>
          <w:sz w:val="20"/>
        </w:rPr>
        <w:t xml:space="preserve">снижение уровня аварийности на сетях водоотведения;</w:t>
      </w:r>
    </w:p>
    <w:p>
      <w:pPr>
        <w:pStyle w:val="0"/>
        <w:spacing w:before="200" w:lineRule="auto"/>
        <w:ind w:firstLine="540"/>
        <w:jc w:val="both"/>
      </w:pPr>
      <w:r>
        <w:rPr>
          <w:sz w:val="20"/>
        </w:rPr>
        <w:t xml:space="preserve">повышение качества разработки схем водоотведения в части их соответствия требованиям действующего законодательства Российской Федерации;</w:t>
      </w:r>
    </w:p>
    <w:p>
      <w:pPr>
        <w:pStyle w:val="0"/>
        <w:spacing w:before="200" w:lineRule="auto"/>
        <w:ind w:firstLine="540"/>
        <w:jc w:val="both"/>
      </w:pPr>
      <w:r>
        <w:rPr>
          <w:sz w:val="20"/>
        </w:rPr>
        <w:t xml:space="preserve">разработка мер стимулирования привлечения внебюджетных источников финансирования для реализации мероприятий по модернизации и развитию инфраструктуры в сфере водоотведения.</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проведение оценки состояния централизованных систем водоотведения на постоянной основе;</w:t>
      </w:r>
    </w:p>
    <w:p>
      <w:pPr>
        <w:pStyle w:val="0"/>
        <w:spacing w:before="200" w:lineRule="auto"/>
        <w:ind w:firstLine="540"/>
        <w:jc w:val="both"/>
      </w:pPr>
      <w:r>
        <w:rPr>
          <w:sz w:val="20"/>
        </w:rPr>
        <w:t xml:space="preserve">введение требования о ежегодной актуализации схем водоснабжения и водоотведения и передача полномочий по их утверждению на уровень субъекта Российской Федерации;</w:t>
      </w:r>
    </w:p>
    <w:p>
      <w:pPr>
        <w:pStyle w:val="0"/>
        <w:spacing w:before="200" w:lineRule="auto"/>
        <w:ind w:firstLine="540"/>
        <w:jc w:val="both"/>
      </w:pPr>
      <w:r>
        <w:rPr>
          <w:sz w:val="20"/>
        </w:rPr>
        <w:t xml:space="preserve">отказ от разработки и утверждения производственных программ ресурсоснабжающей организации в пользу обязательного наличия инвестиционной программы ресурсоснабжающей организации;</w:t>
      </w:r>
    </w:p>
    <w:p>
      <w:pPr>
        <w:pStyle w:val="0"/>
        <w:spacing w:before="200" w:lineRule="auto"/>
        <w:ind w:firstLine="540"/>
        <w:jc w:val="both"/>
      </w:pPr>
      <w:r>
        <w:rPr>
          <w:sz w:val="20"/>
        </w:rPr>
        <w:t xml:space="preserve">стимулирование увеличения объема и доли внебюджетных источников финансирования реализации мероприятий по модернизации и развитию инфраструктуры в сфере водоотведения;</w:t>
      </w:r>
    </w:p>
    <w:p>
      <w:pPr>
        <w:pStyle w:val="0"/>
        <w:spacing w:before="200" w:lineRule="auto"/>
        <w:ind w:firstLine="540"/>
        <w:jc w:val="both"/>
      </w:pPr>
      <w:r>
        <w:rPr>
          <w:sz w:val="20"/>
        </w:rPr>
        <w:t xml:space="preserve">создание механизма передачи бесхозяйных объектов и сетей поверхностного водоотвода в государственную (муниципальную) собственность;</w:t>
      </w:r>
    </w:p>
    <w:p>
      <w:pPr>
        <w:pStyle w:val="0"/>
        <w:spacing w:before="200" w:lineRule="auto"/>
        <w:ind w:firstLine="540"/>
        <w:jc w:val="both"/>
      </w:pPr>
      <w:r>
        <w:rPr>
          <w:sz w:val="20"/>
        </w:rPr>
        <w:t xml:space="preserve">создание механизмов реализации проектов по модернизации действующих или строительству новых централизованных систем водоотведения поверхностного стока, в том числе на основе принципов государственно-частного партнерства;</w:t>
      </w:r>
    </w:p>
    <w:p>
      <w:pPr>
        <w:pStyle w:val="0"/>
        <w:spacing w:before="200" w:lineRule="auto"/>
        <w:ind w:firstLine="540"/>
        <w:jc w:val="both"/>
      </w:pPr>
      <w:r>
        <w:rPr>
          <w:sz w:val="20"/>
        </w:rPr>
        <w:t xml:space="preserve">разработка мер в целях поддержки развития систем централизованной очистки коммунальных бытовых стоков в малых и средних населенных пунктах и местах компактного проживания граждан;</w:t>
      </w:r>
    </w:p>
    <w:p>
      <w:pPr>
        <w:pStyle w:val="0"/>
        <w:spacing w:before="200" w:lineRule="auto"/>
        <w:ind w:firstLine="540"/>
        <w:jc w:val="both"/>
      </w:pPr>
      <w:r>
        <w:rPr>
          <w:sz w:val="20"/>
        </w:rPr>
        <w:t xml:space="preserve">разработка мер в целях поддержки развития инвестиционных проектов в сфере очистки и обеззараживания коммунальных бытовых стоков, сбора и утилизации биогаза с очистных сооружений коммунальных бытовых стоков;</w:t>
      </w:r>
    </w:p>
    <w:p>
      <w:pPr>
        <w:pStyle w:val="0"/>
        <w:spacing w:before="200" w:lineRule="auto"/>
        <w:ind w:firstLine="540"/>
        <w:jc w:val="both"/>
      </w:pPr>
      <w:r>
        <w:rPr>
          <w:sz w:val="20"/>
        </w:rPr>
        <w:t xml:space="preserve">обновление объектов водоотведения посредством реализации программы модернизации коммунальной инфраструктуры на период 2023 - 2027 годов с прогнозом до 2030 года в рамках комплекса инструментов, предусмотренных федеральным проектом "Инфраструктурное меню".</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повышен уровень надежности и эффективности систем водоотведения, снижен уровень аварийности на сетях и объектах водоотведения;</w:t>
      </w:r>
    </w:p>
    <w:p>
      <w:pPr>
        <w:pStyle w:val="0"/>
        <w:spacing w:before="200" w:lineRule="auto"/>
        <w:ind w:firstLine="540"/>
        <w:jc w:val="both"/>
      </w:pPr>
      <w:r>
        <w:rPr>
          <w:sz w:val="20"/>
        </w:rPr>
        <w:t xml:space="preserve">сокращен сброс загрязненных сточных вод в водные объекты, определенные как ключевые водные объекты Российской Федерации;</w:t>
      </w:r>
    </w:p>
    <w:p>
      <w:pPr>
        <w:pStyle w:val="0"/>
        <w:spacing w:before="200" w:lineRule="auto"/>
        <w:ind w:firstLine="540"/>
        <w:jc w:val="both"/>
      </w:pPr>
      <w:r>
        <w:rPr>
          <w:sz w:val="20"/>
        </w:rPr>
        <w:t xml:space="preserve">восстановлена нормативная работа существующих систем поверхностного водоотвода в населенных пунктах, созданы новые системы;</w:t>
      </w:r>
    </w:p>
    <w:p>
      <w:pPr>
        <w:pStyle w:val="0"/>
        <w:spacing w:before="200" w:lineRule="auto"/>
        <w:ind w:firstLine="540"/>
        <w:jc w:val="both"/>
      </w:pPr>
      <w:r>
        <w:rPr>
          <w:sz w:val="20"/>
        </w:rPr>
        <w:t xml:space="preserve">доля привлеченных средств, в том числе средств частных инвесторов, а также средств, привлекаемых субъектами Российской Федерации на возвратной основе, в общем объеме капитальных вложений в системы водоснабжения, водоотведения за весь период реализации Стратегии составит не менее 30 процентов.</w:t>
      </w:r>
    </w:p>
    <w:p>
      <w:pPr>
        <w:pStyle w:val="0"/>
        <w:jc w:val="both"/>
      </w:pPr>
      <w:r>
        <w:rPr>
          <w:sz w:val="20"/>
        </w:rPr>
      </w:r>
    </w:p>
    <w:p>
      <w:pPr>
        <w:pStyle w:val="2"/>
        <w:outlineLvl w:val="3"/>
        <w:jc w:val="center"/>
      </w:pPr>
      <w:r>
        <w:rPr>
          <w:sz w:val="20"/>
        </w:rPr>
        <w:t xml:space="preserve">Газоснабжение</w:t>
      </w:r>
    </w:p>
    <w:p>
      <w:pPr>
        <w:pStyle w:val="0"/>
        <w:jc w:val="both"/>
      </w:pPr>
      <w:r>
        <w:rPr>
          <w:sz w:val="20"/>
        </w:rPr>
      </w:r>
    </w:p>
    <w:p>
      <w:pPr>
        <w:pStyle w:val="0"/>
        <w:ind w:firstLine="540"/>
        <w:jc w:val="both"/>
      </w:pPr>
      <w:r>
        <w:rPr>
          <w:sz w:val="20"/>
        </w:rPr>
        <w:t xml:space="preserve">Обеспечение газом объектов капитального строительства является одним из условий полноценного и комплексного развития строительной отрасли и жилищно-коммунального хозяйства. Реализация проектов по модернизации объектов теплоснабжения является одним из инструментов для совершенствования внутреннего рынка газа и развития производства и потребления сжиженного природного газа как источника экологичного и энергоэффективного вида топлива.</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недостаточный уровень развития газотранспортной инфраструктуры и газификации населения, в особенности в сельской местности;</w:t>
      </w:r>
    </w:p>
    <w:p>
      <w:pPr>
        <w:pStyle w:val="0"/>
        <w:spacing w:before="200" w:lineRule="auto"/>
        <w:ind w:firstLine="540"/>
        <w:jc w:val="both"/>
      </w:pPr>
      <w:r>
        <w:rPr>
          <w:sz w:val="20"/>
        </w:rPr>
        <w:t xml:space="preserve">низкий уровень синхронизации схем развития систем теплоснабжения и программ и схем развития газоснабжения, в том числе в части удовлетворения потребности населения в подключении к централизованным системам теплоснабжения и социальной газификации;</w:t>
      </w:r>
    </w:p>
    <w:p>
      <w:pPr>
        <w:pStyle w:val="0"/>
        <w:spacing w:before="200" w:lineRule="auto"/>
        <w:ind w:firstLine="540"/>
        <w:jc w:val="both"/>
      </w:pPr>
      <w:r>
        <w:rPr>
          <w:sz w:val="20"/>
        </w:rPr>
        <w:t xml:space="preserve">неразвитая инфраструктура по производству, транспортировке и потреблению сжиженного природного газа в целях автономного обеспечения теплоснабжения малонаселенных и территориально удаленных от газовых магистралей населенных пунктов;</w:t>
      </w:r>
    </w:p>
    <w:p>
      <w:pPr>
        <w:pStyle w:val="0"/>
        <w:spacing w:before="200" w:lineRule="auto"/>
        <w:ind w:firstLine="540"/>
        <w:jc w:val="both"/>
      </w:pPr>
      <w:r>
        <w:rPr>
          <w:sz w:val="20"/>
        </w:rPr>
        <w:t xml:space="preserve">низкий уровень безопасности внутридомового и внутриквартирного газового оборудования ввиду его аварийного состояния.</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создание условий для первоочередного подведения газа к земельным участкам, вовлекаемым в оборот для жилищного строительства;</w:t>
      </w:r>
    </w:p>
    <w:p>
      <w:pPr>
        <w:pStyle w:val="0"/>
        <w:spacing w:before="200" w:lineRule="auto"/>
        <w:ind w:firstLine="540"/>
        <w:jc w:val="both"/>
      </w:pPr>
      <w:r>
        <w:rPr>
          <w:sz w:val="20"/>
        </w:rPr>
        <w:t xml:space="preserve">участие в совершенствовании внутреннего рынка газа в целях развития индивидуального жилищного строительства и централизованных систем теплоснабжения;</w:t>
      </w:r>
    </w:p>
    <w:p>
      <w:pPr>
        <w:pStyle w:val="0"/>
        <w:spacing w:before="200" w:lineRule="auto"/>
        <w:ind w:firstLine="540"/>
        <w:jc w:val="both"/>
      </w:pPr>
      <w:r>
        <w:rPr>
          <w:sz w:val="20"/>
        </w:rPr>
        <w:t xml:space="preserve">усиление контроля за состоянием и процессом эксплуатации внутридомового и внутриквартирного газового оборудования в части его соответствия требованиям безопасности.</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синхронизация схем развития систем теплоснабжения и программ газоснабжения, в том числе в части удовлетворения потребности населения в газификации и подключении к централизованным системам теплоснабжения;</w:t>
      </w:r>
    </w:p>
    <w:p>
      <w:pPr>
        <w:pStyle w:val="0"/>
        <w:spacing w:before="200" w:lineRule="auto"/>
        <w:ind w:firstLine="540"/>
        <w:jc w:val="both"/>
      </w:pPr>
      <w:r>
        <w:rPr>
          <w:sz w:val="20"/>
        </w:rPr>
        <w:t xml:space="preserve">стимулирование внутреннего спроса на сжиженный природный газ как инструмент обеспечения энергетической безопасности территорий, отдаленных от магистральной системы газоснабжения и использующих в виде топлива мазут и уголь;</w:t>
      </w:r>
    </w:p>
    <w:p>
      <w:pPr>
        <w:pStyle w:val="0"/>
        <w:spacing w:before="200" w:lineRule="auto"/>
        <w:ind w:firstLine="540"/>
        <w:jc w:val="both"/>
      </w:pPr>
      <w:r>
        <w:rPr>
          <w:sz w:val="20"/>
        </w:rPr>
        <w:t xml:space="preserve">организация квалифицированного обслуживания внутридомового и внутриквартирного газового оборудования, ужесточение требований к обслуживанию вентиляционного оборудования, урегулирование вопроса доступа в жилые помещения проверяющих организаций.</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созданы условия для подведения газа к земельным участкам, вовлекаемым в оборот для целей жилищного строительства;</w:t>
      </w:r>
    </w:p>
    <w:p>
      <w:pPr>
        <w:pStyle w:val="0"/>
        <w:spacing w:before="200" w:lineRule="auto"/>
        <w:ind w:firstLine="540"/>
        <w:jc w:val="both"/>
      </w:pPr>
      <w:r>
        <w:rPr>
          <w:sz w:val="20"/>
        </w:rPr>
        <w:t xml:space="preserve">обеспечены условия для автономного, энергоэффективного и экологичного теплоснабжения малонаселенных и территориально удаленных от магистрального газа населенных пунктов путем увеличения потребления сжиженного природного газа;</w:t>
      </w:r>
    </w:p>
    <w:p>
      <w:pPr>
        <w:pStyle w:val="0"/>
        <w:spacing w:before="200" w:lineRule="auto"/>
        <w:ind w:firstLine="540"/>
        <w:jc w:val="both"/>
      </w:pPr>
      <w:r>
        <w:rPr>
          <w:sz w:val="20"/>
        </w:rPr>
        <w:t xml:space="preserve">сокращено количество происшествий, возникающих из-за нарушений использования внутридомового и внутриквартирного газового оборудования.</w:t>
      </w:r>
    </w:p>
    <w:p>
      <w:pPr>
        <w:pStyle w:val="0"/>
        <w:jc w:val="both"/>
      </w:pPr>
      <w:r>
        <w:rPr>
          <w:sz w:val="20"/>
        </w:rPr>
      </w:r>
    </w:p>
    <w:p>
      <w:pPr>
        <w:pStyle w:val="2"/>
        <w:outlineLvl w:val="3"/>
        <w:jc w:val="center"/>
      </w:pPr>
      <w:r>
        <w:rPr>
          <w:sz w:val="20"/>
        </w:rPr>
        <w:t xml:space="preserve">Обращение с отходами производства и потребления</w:t>
      </w:r>
    </w:p>
    <w:p>
      <w:pPr>
        <w:pStyle w:val="0"/>
        <w:jc w:val="both"/>
      </w:pPr>
      <w:r>
        <w:rPr>
          <w:sz w:val="20"/>
        </w:rPr>
      </w:r>
    </w:p>
    <w:p>
      <w:pPr>
        <w:pStyle w:val="0"/>
        <w:ind w:firstLine="540"/>
        <w:jc w:val="both"/>
      </w:pPr>
      <w:r>
        <w:rPr>
          <w:sz w:val="20"/>
        </w:rPr>
        <w:t xml:space="preserve">Основным вектором развития отрасли обращения с отходами производства и потребления в России, как и во всем мире, должна стать минимизация захоронения отходов, в том числе отходов строительства и сноса. Максимальная доля отходов производства и потребления должна перерабатываться и использоваться повторно.</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недостаточная обеспеченность инфраструктурой для обращения с отходами производства и потребления, в том числе для организации раздельного сбора и накопления твердых коммунальных отходов;</w:t>
      </w:r>
    </w:p>
    <w:p>
      <w:pPr>
        <w:pStyle w:val="0"/>
        <w:spacing w:before="200" w:lineRule="auto"/>
        <w:ind w:firstLine="540"/>
        <w:jc w:val="both"/>
      </w:pPr>
      <w:r>
        <w:rPr>
          <w:sz w:val="20"/>
        </w:rPr>
        <w:t xml:space="preserve">недостаточно эффективное использование в строительном цикле вторичных материальных ресурсов;</w:t>
      </w:r>
    </w:p>
    <w:p>
      <w:pPr>
        <w:pStyle w:val="0"/>
        <w:spacing w:before="200" w:lineRule="auto"/>
        <w:ind w:firstLine="540"/>
        <w:jc w:val="both"/>
      </w:pPr>
      <w:r>
        <w:rPr>
          <w:sz w:val="20"/>
        </w:rPr>
        <w:t xml:space="preserve">низкая доля сортируемых твердых коммунальных отходов и отходов строительства и сноса, а также повторно используемых вторичных материальных ресурсов, полученных в результате утилизации твердых коммунальных отходов и отходов строительства и сноса.</w:t>
      </w:r>
    </w:p>
    <w:p>
      <w:pPr>
        <w:pStyle w:val="0"/>
        <w:spacing w:before="200" w:lineRule="auto"/>
        <w:ind w:firstLine="540"/>
        <w:jc w:val="both"/>
      </w:pPr>
      <w:r>
        <w:rPr>
          <w:sz w:val="20"/>
        </w:rPr>
        <w:t xml:space="preserve">Задачами являются ресурсосбережение и максимальное вовлечение вторичных материальных ресурсов, полученных в результате утилизации твердых коммунальных отходов и отходов строительства и сноса, в хозяйственный оборот в качестве дополнительных источников сырья.</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участие в обеспечении необходимой инфраструктуры для раздельного сбора твердых коммунальных отходов, отходов строительства и сноса и подготовке их к утилизации;</w:t>
      </w:r>
    </w:p>
    <w:p>
      <w:pPr>
        <w:pStyle w:val="0"/>
        <w:spacing w:before="200" w:lineRule="auto"/>
        <w:ind w:firstLine="540"/>
        <w:jc w:val="both"/>
      </w:pPr>
      <w:r>
        <w:rPr>
          <w:sz w:val="20"/>
        </w:rPr>
        <w:t xml:space="preserve">утверждение единых требований к порядку обращения с отходами строительства и сноса и наделение субъектов Российской Федерации полномочиями по организации деятельности по накоплению (в том числе раздельному накоплению), сбору, транспортированию, обработке, утилизации, обезвреживанию и размещению отходов строительства и сноса;</w:t>
      </w:r>
    </w:p>
    <w:p>
      <w:pPr>
        <w:pStyle w:val="0"/>
        <w:spacing w:before="200" w:lineRule="auto"/>
        <w:ind w:firstLine="540"/>
        <w:jc w:val="both"/>
      </w:pPr>
      <w:r>
        <w:rPr>
          <w:sz w:val="20"/>
        </w:rPr>
        <w:t xml:space="preserve">участие в разработке мер стимулирования, направленных на использование в качестве строительных материалов, а также для рекультивации и благоустройства территорий вторичных материальных ресурсов и продукции, произведенной с использованием таких вторичных материальных ресурсов, полученных в результате утилизации твердых коммунальных отходов и отходов строительства и сноса;</w:t>
      </w:r>
    </w:p>
    <w:p>
      <w:pPr>
        <w:pStyle w:val="0"/>
        <w:spacing w:before="200" w:lineRule="auto"/>
        <w:ind w:firstLine="540"/>
        <w:jc w:val="both"/>
      </w:pPr>
      <w:r>
        <w:rPr>
          <w:sz w:val="20"/>
        </w:rPr>
        <w:t xml:space="preserve">стимулирование вовлечения отходов строительства и сноса во вторичный оборот.</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сокращены объемы захораниваемых твердых коммунальных отходов и отходов строительства и сноса, не подлежащих дальнейшей утилизации, и, как следствие, минимизирован вред, наносимый окружающей среде в результате загрязнения отходами производства и потребления;</w:t>
      </w:r>
    </w:p>
    <w:p>
      <w:pPr>
        <w:pStyle w:val="0"/>
        <w:spacing w:before="200" w:lineRule="auto"/>
        <w:ind w:firstLine="540"/>
        <w:jc w:val="both"/>
      </w:pPr>
      <w:r>
        <w:rPr>
          <w:sz w:val="20"/>
        </w:rPr>
        <w:t xml:space="preserve">обеспечено создание условий, необходимых для беспрепятственного и повсеместного доступа населения к инфраструктуре раздельного накопления и сбора отходов производства и потребления, в том числе твердых коммунальных отходов и отходов строительства и сноса;</w:t>
      </w:r>
    </w:p>
    <w:p>
      <w:pPr>
        <w:pStyle w:val="0"/>
        <w:spacing w:before="200" w:lineRule="auto"/>
        <w:ind w:firstLine="540"/>
        <w:jc w:val="both"/>
      </w:pPr>
      <w:r>
        <w:rPr>
          <w:sz w:val="20"/>
        </w:rPr>
        <w:t xml:space="preserve">увеличена вовлеченность вторичных материальных ресурсов, полученных в результате утилизации твердых коммунальных отходов и отходов строительства и сноса, в хозяйственный оборот;</w:t>
      </w:r>
    </w:p>
    <w:p>
      <w:pPr>
        <w:pStyle w:val="0"/>
        <w:spacing w:before="200" w:lineRule="auto"/>
        <w:ind w:firstLine="540"/>
        <w:jc w:val="both"/>
      </w:pPr>
      <w:r>
        <w:rPr>
          <w:sz w:val="20"/>
        </w:rPr>
        <w:t xml:space="preserve">увеличено использование в строительном цикле ресурсов, полученных в результате утилизации твердых коммунальных отходов и отходов строительства и сноса.</w:t>
      </w:r>
    </w:p>
    <w:p>
      <w:pPr>
        <w:pStyle w:val="0"/>
        <w:jc w:val="both"/>
      </w:pPr>
      <w:r>
        <w:rPr>
          <w:sz w:val="20"/>
        </w:rPr>
      </w:r>
    </w:p>
    <w:p>
      <w:pPr>
        <w:pStyle w:val="2"/>
        <w:outlineLvl w:val="2"/>
        <w:jc w:val="center"/>
      </w:pPr>
      <w:r>
        <w:rPr>
          <w:sz w:val="20"/>
        </w:rPr>
        <w:t xml:space="preserve">Профессиональная трансформация в сфере</w:t>
      </w:r>
    </w:p>
    <w:p>
      <w:pPr>
        <w:pStyle w:val="2"/>
        <w:jc w:val="center"/>
      </w:pPr>
      <w:r>
        <w:rPr>
          <w:sz w:val="20"/>
        </w:rPr>
        <w:t xml:space="preserve">жилищно-коммунального хозяйства</w:t>
      </w:r>
    </w:p>
    <w:p>
      <w:pPr>
        <w:pStyle w:val="0"/>
        <w:jc w:val="both"/>
      </w:pPr>
      <w:r>
        <w:rPr>
          <w:sz w:val="20"/>
        </w:rPr>
      </w:r>
    </w:p>
    <w:p>
      <w:pPr>
        <w:pStyle w:val="0"/>
        <w:ind w:firstLine="540"/>
        <w:jc w:val="both"/>
      </w:pPr>
      <w:r>
        <w:rPr>
          <w:sz w:val="20"/>
        </w:rPr>
        <w:t xml:space="preserve">Вызовами являются:</w:t>
      </w:r>
    </w:p>
    <w:p>
      <w:pPr>
        <w:pStyle w:val="0"/>
        <w:spacing w:before="200" w:lineRule="auto"/>
        <w:ind w:firstLine="540"/>
        <w:jc w:val="both"/>
      </w:pPr>
      <w:r>
        <w:rPr>
          <w:sz w:val="20"/>
        </w:rPr>
        <w:t xml:space="preserve">внедрение в сферу жилищно-коммунального хозяйства новых технологий, автоматизации и цифровизации поднимает на новый уровень требования к компетенциям кадрового состава организаций, осуществляющих деятельность в сфере жилищно-коммунального хозяйства;</w:t>
      </w:r>
    </w:p>
    <w:p>
      <w:pPr>
        <w:pStyle w:val="0"/>
        <w:spacing w:before="200" w:lineRule="auto"/>
        <w:ind w:firstLine="540"/>
        <w:jc w:val="both"/>
      </w:pPr>
      <w:r>
        <w:rPr>
          <w:sz w:val="20"/>
        </w:rPr>
        <w:t xml:space="preserve">дефицит профессиональных кадров в сфере жилищно-коммунального хозяйства, обусловленный низкой привлекательностью рабочих мест и связанный с недостаточным уровнем развития системы профессиональной подготовки кадров для нужд отрасли жилищно-коммунального хозяйства.</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развитие системы профессиональной подготовки, переподготовки и повышения квалификации кадров для нужд отрасли жилищно-коммунального хозяйства;</w:t>
      </w:r>
    </w:p>
    <w:p>
      <w:pPr>
        <w:pStyle w:val="0"/>
        <w:spacing w:before="200" w:lineRule="auto"/>
        <w:ind w:firstLine="540"/>
        <w:jc w:val="both"/>
      </w:pPr>
      <w:r>
        <w:rPr>
          <w:sz w:val="20"/>
        </w:rPr>
        <w:t xml:space="preserve">повышение уровня компетенций руководителей и специалистов предприятий жилищно-коммунального хозяйства, профильных ведомств;</w:t>
      </w:r>
    </w:p>
    <w:p>
      <w:pPr>
        <w:pStyle w:val="0"/>
        <w:spacing w:before="200" w:lineRule="auto"/>
        <w:ind w:firstLine="540"/>
        <w:jc w:val="both"/>
      </w:pPr>
      <w:r>
        <w:rPr>
          <w:sz w:val="20"/>
        </w:rPr>
        <w:t xml:space="preserve">введение механизма систематического мониторинга прогнозирования кадровой потребности для отрасли.</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разработка методологии и ведение систематического мониторинга прогнозирования кадровой потребности для отрасли;</w:t>
      </w:r>
    </w:p>
    <w:p>
      <w:pPr>
        <w:pStyle w:val="0"/>
        <w:spacing w:before="200" w:lineRule="auto"/>
        <w:ind w:firstLine="540"/>
        <w:jc w:val="both"/>
      </w:pPr>
      <w:r>
        <w:rPr>
          <w:sz w:val="20"/>
        </w:rPr>
        <w:t xml:space="preserve">развитие схем и форматов подготовки кадров по программам дополнительного профессионального образования (краткосрочного обучения и переобучения, повышения квалификации и профессиональной переподготовки) по профильным направлениям с учетом современных потребностей отрасли;</w:t>
      </w:r>
    </w:p>
    <w:p>
      <w:pPr>
        <w:pStyle w:val="0"/>
        <w:spacing w:before="200" w:lineRule="auto"/>
        <w:ind w:firstLine="540"/>
        <w:jc w:val="both"/>
      </w:pPr>
      <w:r>
        <w:rPr>
          <w:sz w:val="20"/>
        </w:rPr>
        <w:t xml:space="preserve">синхронизация существующих инструментов государственной поддержки развития образования и кадрового обеспечения с потребностями отрасли жилищно-коммунального хозяйства;</w:t>
      </w:r>
    </w:p>
    <w:p>
      <w:pPr>
        <w:pStyle w:val="0"/>
        <w:spacing w:before="200" w:lineRule="auto"/>
        <w:ind w:firstLine="540"/>
        <w:jc w:val="both"/>
      </w:pPr>
      <w:r>
        <w:rPr>
          <w:sz w:val="20"/>
        </w:rPr>
        <w:t xml:space="preserve">вовлечение работодателей в процесс подготовки специалистов;</w:t>
      </w:r>
    </w:p>
    <w:p>
      <w:pPr>
        <w:pStyle w:val="0"/>
        <w:spacing w:before="200" w:lineRule="auto"/>
        <w:ind w:firstLine="540"/>
        <w:jc w:val="both"/>
      </w:pPr>
      <w:r>
        <w:rPr>
          <w:sz w:val="20"/>
        </w:rPr>
        <w:t xml:space="preserve">актуализация и разработка инструментов независимой оценки квалификации персонала в сфере жилищно-коммунального хозяйства.</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обеспечена подготовка специалистов, обладающих компетенциями, соответствующими современным потребностям сферы жилищно-коммунального хозяйства;</w:t>
      </w:r>
    </w:p>
    <w:p>
      <w:pPr>
        <w:pStyle w:val="0"/>
        <w:spacing w:before="200" w:lineRule="auto"/>
        <w:ind w:firstLine="540"/>
        <w:jc w:val="both"/>
      </w:pPr>
      <w:r>
        <w:rPr>
          <w:sz w:val="20"/>
        </w:rPr>
        <w:t xml:space="preserve">обеспечены мотивирующие факторы для повышения уровня профессионального развития работников, а также для совершенствования системы подготовки кадров в сфере жилищно-коммунального хозяйства.</w:t>
      </w:r>
    </w:p>
    <w:p>
      <w:pPr>
        <w:pStyle w:val="0"/>
        <w:jc w:val="both"/>
      </w:pPr>
      <w:r>
        <w:rPr>
          <w:sz w:val="20"/>
        </w:rPr>
      </w:r>
    </w:p>
    <w:p>
      <w:pPr>
        <w:pStyle w:val="2"/>
        <w:outlineLvl w:val="2"/>
        <w:jc w:val="center"/>
      </w:pPr>
      <w:r>
        <w:rPr>
          <w:sz w:val="20"/>
        </w:rPr>
        <w:t xml:space="preserve">Формирование комфортной городской среды</w:t>
      </w:r>
    </w:p>
    <w:p>
      <w:pPr>
        <w:pStyle w:val="0"/>
        <w:jc w:val="both"/>
      </w:pPr>
      <w:r>
        <w:rPr>
          <w:sz w:val="20"/>
        </w:rPr>
      </w:r>
    </w:p>
    <w:p>
      <w:pPr>
        <w:pStyle w:val="0"/>
        <w:ind w:firstLine="540"/>
        <w:jc w:val="both"/>
      </w:pPr>
      <w:r>
        <w:rPr>
          <w:sz w:val="20"/>
        </w:rPr>
        <w:t xml:space="preserve">Формирование комфортной городской среды является неотъемлемой частью комплексного развития территорий и не может рассматриваться в отрыве от градостроительного планирования, создания городской инфраструктуры, возведения жилья, объектов торгового, культурного, спортивного и иного назначения, создания безбарьерной среды для маломобильных групп населения.</w:t>
      </w:r>
    </w:p>
    <w:p>
      <w:pPr>
        <w:pStyle w:val="0"/>
        <w:spacing w:before="200" w:lineRule="auto"/>
        <w:ind w:firstLine="540"/>
        <w:jc w:val="both"/>
      </w:pPr>
      <w:r>
        <w:rPr>
          <w:sz w:val="20"/>
        </w:rPr>
        <w:t xml:space="preserve">С целью оценки состояния городской среды разработан индекс качества городской среды. Индекс качества городской среды за 2021 год по Российской Федерации составил 184 балла (на 7 баллов выше по сравнению с 2020 годом). Количество городов с благоприятной городской средой в 2021 году выросло до 490 (на 115 городов больше, чем в 2020 году). Доля городов с благоприятной средой составила 44 процента.</w:t>
      </w:r>
    </w:p>
    <w:p>
      <w:pPr>
        <w:pStyle w:val="0"/>
        <w:spacing w:before="200" w:lineRule="auto"/>
        <w:ind w:firstLine="540"/>
        <w:jc w:val="both"/>
      </w:pPr>
      <w:r>
        <w:rPr>
          <w:sz w:val="20"/>
        </w:rPr>
        <w:t xml:space="preserve">В период 2017 - 2021 годов в реализации мероприятий по формированию комфортной городской среды ежегодно принимали участие порядка 3 тыс. муниципальных образований, всего благоустроено более 89 тыс. территорий. По данным субъектов Российской Федерации, по состоянию на 1 января 2022 г. требуют благоустройства порядка 162 тыс. дворовых и 85 тыс. общественных территорий.</w:t>
      </w:r>
    </w:p>
    <w:p>
      <w:pPr>
        <w:pStyle w:val="0"/>
        <w:spacing w:before="200" w:lineRule="auto"/>
        <w:ind w:firstLine="540"/>
        <w:jc w:val="both"/>
      </w:pPr>
      <w:r>
        <w:rPr>
          <w:sz w:val="20"/>
        </w:rPr>
        <w:t xml:space="preserve">Приоритетность благоустройства территорий определяется субъектами Российской Федерации и муниципальными образованиями, в том числе по итогам голосования жителей.</w:t>
      </w:r>
    </w:p>
    <w:p>
      <w:pPr>
        <w:pStyle w:val="0"/>
        <w:spacing w:before="200" w:lineRule="auto"/>
        <w:ind w:firstLine="540"/>
        <w:jc w:val="both"/>
      </w:pPr>
      <w:r>
        <w:rPr>
          <w:sz w:val="20"/>
        </w:rPr>
        <w:t xml:space="preserve">В рамках Стратегии требует внимания еще один вопрос, относящийся к содержанию территорий кладбищ и иных мест захоронений, обеспечению безопасности эксплуатации таких территорий и качества оказания похоронных услуг.</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низкое качество городской среды более чем в 55 процентах городов Российской Федерации;</w:t>
      </w:r>
    </w:p>
    <w:p>
      <w:pPr>
        <w:pStyle w:val="0"/>
        <w:spacing w:before="200" w:lineRule="auto"/>
        <w:ind w:firstLine="540"/>
        <w:jc w:val="both"/>
      </w:pPr>
      <w:r>
        <w:rPr>
          <w:sz w:val="20"/>
        </w:rPr>
        <w:t xml:space="preserve">значительное количество неблагоустроенных (брошенных) мест погребения, отсутствие стандартов оказания услуг по погребению.</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сокращение количества городов с неблагоприятной городской средой;</w:t>
      </w:r>
    </w:p>
    <w:p>
      <w:pPr>
        <w:pStyle w:val="0"/>
        <w:spacing w:before="200" w:lineRule="auto"/>
        <w:ind w:firstLine="540"/>
        <w:jc w:val="both"/>
      </w:pPr>
      <w:r>
        <w:rPr>
          <w:sz w:val="20"/>
        </w:rPr>
        <w:t xml:space="preserve">ежегодный прирост индекса качества городской среды;</w:t>
      </w:r>
    </w:p>
    <w:p>
      <w:pPr>
        <w:pStyle w:val="0"/>
        <w:spacing w:before="200" w:lineRule="auto"/>
        <w:ind w:firstLine="540"/>
        <w:jc w:val="both"/>
      </w:pPr>
      <w:r>
        <w:rPr>
          <w:sz w:val="20"/>
        </w:rPr>
        <w:t xml:space="preserve">увеличение доли граждан, принимающих участие в решении вопросов развития городской среды;</w:t>
      </w:r>
    </w:p>
    <w:p>
      <w:pPr>
        <w:pStyle w:val="0"/>
        <w:spacing w:before="200" w:lineRule="auto"/>
        <w:ind w:firstLine="540"/>
        <w:jc w:val="both"/>
      </w:pPr>
      <w:r>
        <w:rPr>
          <w:sz w:val="20"/>
        </w:rPr>
        <w:t xml:space="preserve">установление единых требований к учету мест погребения (мест захоронения) и стандартам качества оказания услуг по погребению;</w:t>
      </w:r>
    </w:p>
    <w:p>
      <w:pPr>
        <w:pStyle w:val="0"/>
        <w:spacing w:before="200" w:lineRule="auto"/>
        <w:ind w:firstLine="540"/>
        <w:jc w:val="both"/>
      </w:pPr>
      <w:r>
        <w:rPr>
          <w:sz w:val="20"/>
        </w:rPr>
        <w:t xml:space="preserve">повышение доступности услуг по погребению и информации о гарантированном перечне услуг по погребению, в том числе через электронные сервисы.</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создание комфортных и безопасных общественных территорий, сохранение и развитие пространств населенных пунктов;</w:t>
      </w:r>
    </w:p>
    <w:p>
      <w:pPr>
        <w:pStyle w:val="0"/>
        <w:spacing w:before="200" w:lineRule="auto"/>
        <w:ind w:firstLine="540"/>
        <w:jc w:val="both"/>
      </w:pPr>
      <w:r>
        <w:rPr>
          <w:sz w:val="20"/>
        </w:rPr>
        <w:t xml:space="preserve">синхронизация мероприятий по благоустройству населенных пунктов с мероприятиями комплексного развития территорий, новым жилищным строительством, программой модернизации систем коммунальной инфраструктуры, капитального ремонта;</w:t>
      </w:r>
    </w:p>
    <w:p>
      <w:pPr>
        <w:pStyle w:val="0"/>
        <w:spacing w:before="200" w:lineRule="auto"/>
        <w:ind w:firstLine="540"/>
        <w:jc w:val="both"/>
      </w:pPr>
      <w:r>
        <w:rPr>
          <w:sz w:val="20"/>
        </w:rPr>
        <w:t xml:space="preserve">развитие цифровой экосистемы формирования комфортной городской среды, внедрение платформы учета общественного мнения при определении приоритетов развития объектов городского хозяйства "Решаем вместе";</w:t>
      </w:r>
    </w:p>
    <w:p>
      <w:pPr>
        <w:pStyle w:val="0"/>
        <w:spacing w:before="200" w:lineRule="auto"/>
        <w:ind w:firstLine="540"/>
        <w:jc w:val="both"/>
      </w:pPr>
      <w:r>
        <w:rPr>
          <w:sz w:val="20"/>
        </w:rPr>
        <w:t xml:space="preserve">формирование и совершенствование нормативной правовой базы, предусматривающей повышение ответственности и активности жителей в вопросах благоустройства;</w:t>
      </w:r>
    </w:p>
    <w:p>
      <w:pPr>
        <w:pStyle w:val="0"/>
        <w:spacing w:before="200" w:lineRule="auto"/>
        <w:ind w:firstLine="540"/>
        <w:jc w:val="both"/>
      </w:pPr>
      <w:r>
        <w:rPr>
          <w:sz w:val="20"/>
        </w:rPr>
        <w:t xml:space="preserve">определение границ и оформление права государственной или муниципальной собственности на земельные участки, занятые существующими местами погребения (кладбищами);</w:t>
      </w:r>
    </w:p>
    <w:p>
      <w:pPr>
        <w:pStyle w:val="0"/>
        <w:spacing w:before="200" w:lineRule="auto"/>
        <w:ind w:firstLine="540"/>
        <w:jc w:val="both"/>
      </w:pPr>
      <w:r>
        <w:rPr>
          <w:sz w:val="20"/>
        </w:rPr>
        <w:t xml:space="preserve">применение инновационных технологий при осуществлении мероприятий по благоустройству населенных пунктов, таких как "умное освещение", "зеленые крыши", "экопарковки", "оздоровительные ландшафты";</w:t>
      </w:r>
    </w:p>
    <w:p>
      <w:pPr>
        <w:pStyle w:val="0"/>
        <w:spacing w:before="200" w:lineRule="auto"/>
        <w:ind w:firstLine="540"/>
        <w:jc w:val="both"/>
      </w:pPr>
      <w:r>
        <w:rPr>
          <w:sz w:val="20"/>
        </w:rPr>
        <w:t xml:space="preserve">создание на едином портале государственных и муниципальных услуг электронных сервисов по процедурам оформления документов, необходимых для погребения умерших;</w:t>
      </w:r>
    </w:p>
    <w:p>
      <w:pPr>
        <w:pStyle w:val="0"/>
        <w:spacing w:before="200" w:lineRule="auto"/>
        <w:ind w:firstLine="540"/>
        <w:jc w:val="both"/>
      </w:pPr>
      <w:r>
        <w:rPr>
          <w:sz w:val="20"/>
        </w:rPr>
        <w:t xml:space="preserve">создание электронных реестров участников рынка услуг по погребению, мест погребений (кладбищ), в том числе реестров мест захоронений (могил) с указанием лиц, ответственных за места захоронения.</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улучшено качество городской среды в 1,5 раза по отношению к 2019 году;</w:t>
      </w:r>
    </w:p>
    <w:p>
      <w:pPr>
        <w:pStyle w:val="0"/>
        <w:spacing w:before="200" w:lineRule="auto"/>
        <w:ind w:firstLine="540"/>
        <w:jc w:val="both"/>
      </w:pPr>
      <w:r>
        <w:rPr>
          <w:sz w:val="20"/>
        </w:rPr>
        <w:t xml:space="preserve">сокращено количество городов с неблагоприятной городской средой в 3 раза по сравнению с 2019 годом (не менее 894 городов станут городами с благоприятной городской средой);</w:t>
      </w:r>
    </w:p>
    <w:p>
      <w:pPr>
        <w:pStyle w:val="0"/>
        <w:spacing w:before="200" w:lineRule="auto"/>
        <w:ind w:firstLine="540"/>
        <w:jc w:val="both"/>
      </w:pPr>
      <w:r>
        <w:rPr>
          <w:sz w:val="20"/>
        </w:rPr>
        <w:t xml:space="preserve">повышен уровень активности граждан, в том числе обеспечено вовлечение не менее 30 процентов граждан старше 14 лет в решение вопросов развития городской среды;</w:t>
      </w:r>
    </w:p>
    <w:p>
      <w:pPr>
        <w:pStyle w:val="0"/>
        <w:spacing w:before="200" w:lineRule="auto"/>
        <w:ind w:firstLine="540"/>
        <w:jc w:val="both"/>
      </w:pPr>
      <w:r>
        <w:rPr>
          <w:sz w:val="20"/>
        </w:rPr>
        <w:t xml:space="preserve">благоустроено не менее 62 тыс. общественных территорий, выполняющих оздоровительные, культурно-эстетические, рекреационные функции;</w:t>
      </w:r>
    </w:p>
    <w:p>
      <w:pPr>
        <w:pStyle w:val="0"/>
        <w:spacing w:before="200" w:lineRule="auto"/>
        <w:ind w:firstLine="540"/>
        <w:jc w:val="both"/>
      </w:pPr>
      <w:r>
        <w:rPr>
          <w:sz w:val="20"/>
        </w:rPr>
        <w:t xml:space="preserve">созданы реестры кладбищ, мест захоронений и участков захоронений на них;</w:t>
      </w:r>
    </w:p>
    <w:p>
      <w:pPr>
        <w:pStyle w:val="0"/>
        <w:spacing w:before="200" w:lineRule="auto"/>
        <w:ind w:firstLine="540"/>
        <w:jc w:val="both"/>
      </w:pPr>
      <w:r>
        <w:rPr>
          <w:sz w:val="20"/>
        </w:rPr>
        <w:t xml:space="preserve">созданы электронные сервисы услуг по погребению, в том числе гарантированного перечня услуг по погребению.</w:t>
      </w:r>
    </w:p>
    <w:p>
      <w:pPr>
        <w:pStyle w:val="0"/>
        <w:jc w:val="both"/>
      </w:pPr>
      <w:r>
        <w:rPr>
          <w:sz w:val="20"/>
        </w:rPr>
      </w:r>
    </w:p>
    <w:p>
      <w:pPr>
        <w:pStyle w:val="2"/>
        <w:outlineLvl w:val="1"/>
        <w:jc w:val="center"/>
      </w:pPr>
      <w:r>
        <w:rPr>
          <w:sz w:val="20"/>
        </w:rPr>
        <w:t xml:space="preserve">VII. Промышленное строительство</w:t>
      </w:r>
    </w:p>
    <w:p>
      <w:pPr>
        <w:pStyle w:val="0"/>
        <w:jc w:val="both"/>
      </w:pPr>
      <w:r>
        <w:rPr>
          <w:sz w:val="20"/>
        </w:rPr>
      </w:r>
    </w:p>
    <w:p>
      <w:pPr>
        <w:pStyle w:val="0"/>
        <w:ind w:firstLine="540"/>
        <w:jc w:val="both"/>
      </w:pPr>
      <w:r>
        <w:rPr>
          <w:sz w:val="20"/>
        </w:rPr>
        <w:t xml:space="preserve">Формирование высокотехнологичной, конкурентоспособной промышленности способно обеспечить переход экономики государства от экспортно-сырьевого типа развития к инновационному. В связи с этим возникает необходимость координации планов отраслевого и промышленного развития Российской Федерации с политикой пространственного, территориального и градостроительного развития территорий субъектов, крупнейших городских агломераций, опорных пунктов и внеагломерационных территорий в целях нивелирования диспропорций в сложившейся схеме расселения и концентрации мест приложения труда, а также межрегиональной дифференциации уровня социально-экономического развития.</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различия по уровню обеспеченности субъектов Российской Федерации ресурсами для стимулирования промышленного роста;</w:t>
      </w:r>
    </w:p>
    <w:p>
      <w:pPr>
        <w:pStyle w:val="0"/>
        <w:spacing w:before="200" w:lineRule="auto"/>
        <w:ind w:firstLine="540"/>
        <w:jc w:val="both"/>
      </w:pPr>
      <w:r>
        <w:rPr>
          <w:sz w:val="20"/>
        </w:rPr>
        <w:t xml:space="preserve">ограничения использования земельных участков, устанавливаемые в соответствии с земельным и иным законодательством Российской Федерации;</w:t>
      </w:r>
    </w:p>
    <w:p>
      <w:pPr>
        <w:pStyle w:val="0"/>
        <w:spacing w:before="200" w:lineRule="auto"/>
        <w:ind w:firstLine="540"/>
        <w:jc w:val="both"/>
      </w:pPr>
      <w:r>
        <w:rPr>
          <w:sz w:val="20"/>
        </w:rPr>
        <w:t xml:space="preserve">существенные диспропорции в размещении региональной промышленной инфраструктуры, включающей в себя объекты недвижимого имущества, транспортной и коммунальной инфраструктур, необходимые для осуществления деятельности в сфере промышленности;</w:t>
      </w:r>
    </w:p>
    <w:p>
      <w:pPr>
        <w:pStyle w:val="0"/>
        <w:spacing w:before="200" w:lineRule="auto"/>
        <w:ind w:firstLine="540"/>
        <w:jc w:val="both"/>
      </w:pPr>
      <w:r>
        <w:rPr>
          <w:sz w:val="20"/>
        </w:rPr>
        <w:t xml:space="preserve">высокие издержки на создание и размещение промышленной инфраструктуры, избыточные требования и ограничения в строительстве приводят к увеличению стоимости и, соответственно, снижению конкурентоспособности продукции российской промышленности.</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оценка территориально-отраслевого состояния и развития промышленности в целях определения заказа для строительной отрасли на развитие промышленной и связанной с ней инфраструктуры;</w:t>
      </w:r>
    </w:p>
    <w:p>
      <w:pPr>
        <w:pStyle w:val="0"/>
        <w:spacing w:before="200" w:lineRule="auto"/>
        <w:ind w:firstLine="540"/>
        <w:jc w:val="both"/>
      </w:pPr>
      <w:r>
        <w:rPr>
          <w:sz w:val="20"/>
        </w:rPr>
        <w:t xml:space="preserve">обеспечение условий для опережающего развития промышленной инфраструктуры;</w:t>
      </w:r>
    </w:p>
    <w:p>
      <w:pPr>
        <w:pStyle w:val="0"/>
        <w:spacing w:before="200" w:lineRule="auto"/>
        <w:ind w:firstLine="540"/>
        <w:jc w:val="both"/>
      </w:pPr>
      <w:r>
        <w:rPr>
          <w:sz w:val="20"/>
        </w:rPr>
        <w:t xml:space="preserve">координация реализации федеральных и региональных инфраструктурных проектов, формирующих спрос на промышленную продукцию;</w:t>
      </w:r>
    </w:p>
    <w:p>
      <w:pPr>
        <w:pStyle w:val="0"/>
        <w:spacing w:before="200" w:lineRule="auto"/>
        <w:ind w:firstLine="540"/>
        <w:jc w:val="both"/>
      </w:pPr>
      <w:r>
        <w:rPr>
          <w:sz w:val="20"/>
        </w:rPr>
        <w:t xml:space="preserve">содействие в создании системообразующих условий для реализации значимых инвестиционных проектов в приоритетных отраслях промышленности путем рационального пространственного планирования.</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совершенствование правовой базы технического регулирования в строительстве в части сокращения требований к созданию объектов промышленной инфраструктуры;</w:t>
      </w:r>
    </w:p>
    <w:p>
      <w:pPr>
        <w:pStyle w:val="0"/>
        <w:spacing w:before="200" w:lineRule="auto"/>
        <w:ind w:firstLine="540"/>
        <w:jc w:val="both"/>
      </w:pPr>
      <w:r>
        <w:rPr>
          <w:sz w:val="20"/>
        </w:rPr>
        <w:t xml:space="preserve">обеспечение синхронизации программ жилищного строительства, развития транспортной, социальной, коммунальной инфраструктур с мероприятиями федеральных и региональных программ промышленного развития;</w:t>
      </w:r>
    </w:p>
    <w:p>
      <w:pPr>
        <w:pStyle w:val="0"/>
        <w:spacing w:before="200" w:lineRule="auto"/>
        <w:ind w:firstLine="540"/>
        <w:jc w:val="both"/>
      </w:pPr>
      <w:r>
        <w:rPr>
          <w:sz w:val="20"/>
        </w:rPr>
        <w:t xml:space="preserve">организация разработки территориальных схем (мастер-планов) субъектов Российской Федерации и агломераций, обеспечивающих эффективное использование ресурсов и максимальную реализацию социально-экономического, промышленного, инвестиционного и инновационного потенциалов территорий;</w:t>
      </w:r>
    </w:p>
    <w:p>
      <w:pPr>
        <w:pStyle w:val="0"/>
        <w:spacing w:before="200" w:lineRule="auto"/>
        <w:ind w:firstLine="540"/>
        <w:jc w:val="both"/>
      </w:pPr>
      <w:r>
        <w:rPr>
          <w:sz w:val="20"/>
        </w:rPr>
        <w:t xml:space="preserve">совершенствование порядка размещения площадок с промышленной и технологической инфраструктурой.</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обеспечена синхронизация документов территориального планирования, градостроительного зонирования и документов по планировке территории с мероприятиями федеральных и региональных программ промышленного развития;</w:t>
      </w:r>
    </w:p>
    <w:p>
      <w:pPr>
        <w:pStyle w:val="0"/>
        <w:spacing w:before="200" w:lineRule="auto"/>
        <w:ind w:firstLine="540"/>
        <w:jc w:val="both"/>
      </w:pPr>
      <w:r>
        <w:rPr>
          <w:sz w:val="20"/>
        </w:rPr>
        <w:t xml:space="preserve">ликвидированы инфраструктурные ограничения для опережающего промышленного развития, создания новых высокотехнологичных производств, их обеспеченности необходимыми ресурсами;</w:t>
      </w:r>
    </w:p>
    <w:p>
      <w:pPr>
        <w:pStyle w:val="0"/>
        <w:spacing w:before="200" w:lineRule="auto"/>
        <w:ind w:firstLine="540"/>
        <w:jc w:val="both"/>
      </w:pPr>
      <w:r>
        <w:rPr>
          <w:sz w:val="20"/>
        </w:rPr>
        <w:t xml:space="preserve">сокращены затраты на строительство промышленных объектов.</w:t>
      </w:r>
    </w:p>
    <w:p>
      <w:pPr>
        <w:pStyle w:val="0"/>
        <w:jc w:val="both"/>
      </w:pPr>
      <w:r>
        <w:rPr>
          <w:sz w:val="20"/>
        </w:rPr>
      </w:r>
    </w:p>
    <w:p>
      <w:pPr>
        <w:pStyle w:val="2"/>
        <w:outlineLvl w:val="2"/>
        <w:jc w:val="center"/>
      </w:pPr>
      <w:r>
        <w:rPr>
          <w:sz w:val="20"/>
        </w:rPr>
        <w:t xml:space="preserve">Промышленность строительных материалов</w:t>
      </w:r>
    </w:p>
    <w:p>
      <w:pPr>
        <w:pStyle w:val="0"/>
        <w:jc w:val="both"/>
      </w:pPr>
      <w:r>
        <w:rPr>
          <w:sz w:val="20"/>
        </w:rPr>
      </w:r>
    </w:p>
    <w:p>
      <w:pPr>
        <w:pStyle w:val="0"/>
        <w:ind w:firstLine="540"/>
        <w:jc w:val="both"/>
      </w:pPr>
      <w:r>
        <w:rPr>
          <w:sz w:val="20"/>
        </w:rPr>
        <w:t xml:space="preserve">На сегодняшний день основными проблемами развития промышленности строительных материалов являются:</w:t>
      </w:r>
    </w:p>
    <w:p>
      <w:pPr>
        <w:pStyle w:val="0"/>
        <w:spacing w:before="200" w:lineRule="auto"/>
        <w:ind w:firstLine="540"/>
        <w:jc w:val="both"/>
      </w:pPr>
      <w:r>
        <w:rPr>
          <w:sz w:val="20"/>
        </w:rPr>
        <w:t xml:space="preserve">отсутствие консолидированной потребности по отраслевым направлениям строительства;</w:t>
      </w:r>
    </w:p>
    <w:p>
      <w:pPr>
        <w:pStyle w:val="0"/>
        <w:spacing w:before="200" w:lineRule="auto"/>
        <w:ind w:firstLine="540"/>
        <w:jc w:val="both"/>
      </w:pPr>
      <w:r>
        <w:rPr>
          <w:sz w:val="20"/>
        </w:rPr>
        <w:t xml:space="preserve">неравномерное размещение производств;</w:t>
      </w:r>
    </w:p>
    <w:p>
      <w:pPr>
        <w:pStyle w:val="0"/>
        <w:spacing w:before="200" w:lineRule="auto"/>
        <w:ind w:firstLine="540"/>
        <w:jc w:val="both"/>
      </w:pPr>
      <w:r>
        <w:rPr>
          <w:sz w:val="20"/>
        </w:rPr>
        <w:t xml:space="preserve">высокая стоимость продукции для потребителя с учетом стоимости доставки;</w:t>
      </w:r>
    </w:p>
    <w:p>
      <w:pPr>
        <w:pStyle w:val="0"/>
        <w:spacing w:before="200" w:lineRule="auto"/>
        <w:ind w:firstLine="540"/>
        <w:jc w:val="both"/>
      </w:pPr>
      <w:r>
        <w:rPr>
          <w:sz w:val="20"/>
        </w:rPr>
        <w:t xml:space="preserve">отсутствие (в редких случаях) российских аналогов продукции с требуемыми потребительскими свойствами и качествами, а также наличие случаев применения некачественных, фальсифицированных и контрафактных строительных материалов;</w:t>
      </w:r>
    </w:p>
    <w:p>
      <w:pPr>
        <w:pStyle w:val="0"/>
        <w:spacing w:before="200" w:lineRule="auto"/>
        <w:ind w:firstLine="540"/>
        <w:jc w:val="both"/>
      </w:pPr>
      <w:r>
        <w:rPr>
          <w:sz w:val="20"/>
        </w:rPr>
        <w:t xml:space="preserve">зависимость от импорта по материалам и оборудованию для отдельных категорий объектов составляет до 5 процентов - для массового жилищного строительства и объектов дорожной инфраструктуры, до 10 процентов - для административных зданий и инженерных сооружений, до 35 процентов - для промышленных объектов.</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отсутствие консолидированной потребности по отраслевым направлениям строительства (дорожное строительство, энергетика и т.д.);</w:t>
      </w:r>
    </w:p>
    <w:p>
      <w:pPr>
        <w:pStyle w:val="0"/>
        <w:spacing w:before="200" w:lineRule="auto"/>
        <w:ind w:firstLine="540"/>
        <w:jc w:val="both"/>
      </w:pPr>
      <w:r>
        <w:rPr>
          <w:sz w:val="20"/>
        </w:rPr>
        <w:t xml:space="preserve">неравномерное распределение загрузки предприятий - производителей строительных материалов по территории Российской Федерации;</w:t>
      </w:r>
    </w:p>
    <w:p>
      <w:pPr>
        <w:pStyle w:val="0"/>
        <w:spacing w:before="200" w:lineRule="auto"/>
        <w:ind w:firstLine="540"/>
        <w:jc w:val="both"/>
      </w:pPr>
      <w:r>
        <w:rPr>
          <w:sz w:val="20"/>
        </w:rPr>
        <w:t xml:space="preserve">ограничения или высокая стоимость транспортировки продукции;</w:t>
      </w:r>
    </w:p>
    <w:p>
      <w:pPr>
        <w:pStyle w:val="0"/>
        <w:spacing w:before="200" w:lineRule="auto"/>
        <w:ind w:firstLine="540"/>
        <w:jc w:val="both"/>
      </w:pPr>
      <w:r>
        <w:rPr>
          <w:sz w:val="20"/>
        </w:rPr>
        <w:t xml:space="preserve">необходимость замещения импортируемых строительных ресурсов, включая строительные материалы, оборудование, используемое для производства строительных ресурсов, строительные машины и механизмы;</w:t>
      </w:r>
    </w:p>
    <w:p>
      <w:pPr>
        <w:pStyle w:val="0"/>
        <w:spacing w:before="200" w:lineRule="auto"/>
        <w:ind w:firstLine="540"/>
        <w:jc w:val="both"/>
      </w:pPr>
      <w:r>
        <w:rPr>
          <w:sz w:val="20"/>
        </w:rPr>
        <w:t xml:space="preserve">отсутствие внутреннего спроса на инновационные и современные технологии и материалы;</w:t>
      </w:r>
    </w:p>
    <w:p>
      <w:pPr>
        <w:pStyle w:val="0"/>
        <w:spacing w:before="200" w:lineRule="auto"/>
        <w:ind w:firstLine="540"/>
        <w:jc w:val="both"/>
      </w:pPr>
      <w:r>
        <w:rPr>
          <w:sz w:val="20"/>
        </w:rPr>
        <w:t xml:space="preserve">наличие некачественных, фальсифицированных и контрафактных строительных материалов;</w:t>
      </w:r>
    </w:p>
    <w:p>
      <w:pPr>
        <w:pStyle w:val="0"/>
        <w:spacing w:before="200" w:lineRule="auto"/>
        <w:ind w:firstLine="540"/>
        <w:jc w:val="both"/>
      </w:pPr>
      <w:r>
        <w:rPr>
          <w:sz w:val="20"/>
        </w:rPr>
        <w:t xml:space="preserve">отсутствие или недоступность источников, содержащих достоверную информацию о результатах лабораторных испытаний каждой партии строительных материалов, изделий, результатов строительного контроля при осуществлении градостроительной деятельности;</w:t>
      </w:r>
    </w:p>
    <w:p>
      <w:pPr>
        <w:pStyle w:val="0"/>
        <w:spacing w:before="200" w:lineRule="auto"/>
        <w:ind w:firstLine="540"/>
        <w:jc w:val="both"/>
      </w:pPr>
      <w:r>
        <w:rPr>
          <w:sz w:val="20"/>
        </w:rPr>
        <w:t xml:space="preserve">отсутствие гарантии выполнения общих требований к безопасности зданий и сооружений в связи с недостоверностью результатов входного и строительного контроля строительных материалов, некомпетентностью органов, осуществлявших лабораторные испытания;</w:t>
      </w:r>
    </w:p>
    <w:p>
      <w:pPr>
        <w:pStyle w:val="0"/>
        <w:spacing w:before="200" w:lineRule="auto"/>
        <w:ind w:firstLine="540"/>
        <w:jc w:val="both"/>
      </w:pPr>
      <w:r>
        <w:rPr>
          <w:sz w:val="20"/>
        </w:rPr>
        <w:t xml:space="preserve">снижение эксплуатационных характеристик объектов капитального строительства, увеличение затрат на их содержание, эксплуатацию и ремонт;</w:t>
      </w:r>
    </w:p>
    <w:p>
      <w:pPr>
        <w:pStyle w:val="0"/>
        <w:spacing w:before="200" w:lineRule="auto"/>
        <w:ind w:firstLine="540"/>
        <w:jc w:val="both"/>
      </w:pPr>
      <w:r>
        <w:rPr>
          <w:sz w:val="20"/>
        </w:rPr>
        <w:t xml:space="preserve">нарушение прав потребителей из-за недостоверной информации о свойствах стройматериалов, использованных при строительстве объектов капитального строительства;</w:t>
      </w:r>
    </w:p>
    <w:p>
      <w:pPr>
        <w:pStyle w:val="0"/>
        <w:spacing w:before="200" w:lineRule="auto"/>
        <w:ind w:firstLine="540"/>
        <w:jc w:val="both"/>
      </w:pPr>
      <w:r>
        <w:rPr>
          <w:sz w:val="20"/>
        </w:rPr>
        <w:t xml:space="preserve">злоупотребление конкурентным преимуществом на рынке производителей материалов посредством снижения качества и цен на свою продукцию.</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формирование консолидированной потребности строительной отрасли в строительных материалах для обеспечения устойчивого и сбалансированного функционирования производителей строительных материалов;</w:t>
      </w:r>
    </w:p>
    <w:p>
      <w:pPr>
        <w:pStyle w:val="0"/>
        <w:spacing w:before="200" w:lineRule="auto"/>
        <w:ind w:firstLine="540"/>
        <w:jc w:val="both"/>
      </w:pPr>
      <w:r>
        <w:rPr>
          <w:sz w:val="20"/>
        </w:rPr>
        <w:t xml:space="preserve">обеспечение эффективного взаимодействия производителей и потребителей в части прогнозирования производственных возможностей и динамики цен на строительные материалы с учетом потребности строительной отрасли;</w:t>
      </w:r>
    </w:p>
    <w:p>
      <w:pPr>
        <w:pStyle w:val="0"/>
        <w:spacing w:before="200" w:lineRule="auto"/>
        <w:ind w:firstLine="540"/>
        <w:jc w:val="both"/>
      </w:pPr>
      <w:r>
        <w:rPr>
          <w:sz w:val="20"/>
        </w:rPr>
        <w:t xml:space="preserve">обеспечение условий для сокращения импорта строительных материалов, увеличения спроса на отечественные строительные материалы;</w:t>
      </w:r>
    </w:p>
    <w:p>
      <w:pPr>
        <w:pStyle w:val="0"/>
        <w:spacing w:before="200" w:lineRule="auto"/>
        <w:ind w:firstLine="540"/>
        <w:jc w:val="both"/>
      </w:pPr>
      <w:r>
        <w:rPr>
          <w:sz w:val="20"/>
        </w:rPr>
        <w:t xml:space="preserve">стимулирование применения инновационных и экологичных строительных материалов, включая алюминиевые, композитные и полимерные материалы;</w:t>
      </w:r>
    </w:p>
    <w:p>
      <w:pPr>
        <w:pStyle w:val="0"/>
        <w:spacing w:before="200" w:lineRule="auto"/>
        <w:ind w:firstLine="540"/>
        <w:jc w:val="both"/>
      </w:pPr>
      <w:r>
        <w:rPr>
          <w:sz w:val="20"/>
        </w:rPr>
        <w:t xml:space="preserve">обеспечение развития индустриального домостроения, в том числе технологий сборно-монолитного каркаса, блочно-модульного и деревянного домостроения;</w:t>
      </w:r>
    </w:p>
    <w:p>
      <w:pPr>
        <w:pStyle w:val="0"/>
        <w:spacing w:before="200" w:lineRule="auto"/>
        <w:ind w:firstLine="540"/>
        <w:jc w:val="both"/>
      </w:pPr>
      <w:r>
        <w:rPr>
          <w:sz w:val="20"/>
        </w:rPr>
        <w:t xml:space="preserve">обеспечение реализации механизмов поддержки развития производств строительных ресурсов по приоритетным направлениям, в том числе в рамках импортозамещения;</w:t>
      </w:r>
    </w:p>
    <w:p>
      <w:pPr>
        <w:pStyle w:val="0"/>
        <w:spacing w:before="200" w:lineRule="auto"/>
        <w:ind w:firstLine="540"/>
        <w:jc w:val="both"/>
      </w:pPr>
      <w:r>
        <w:rPr>
          <w:sz w:val="20"/>
        </w:rPr>
        <w:t xml:space="preserve">обеспечение значительного сокращения некачественных, фальсифицированных и контрафактных строительных материалов и изделий, используемых при возведении и эксплуатации зданий и сооружений;</w:t>
      </w:r>
    </w:p>
    <w:p>
      <w:pPr>
        <w:pStyle w:val="0"/>
        <w:spacing w:before="200" w:lineRule="auto"/>
        <w:ind w:firstLine="540"/>
        <w:jc w:val="both"/>
      </w:pPr>
      <w:r>
        <w:rPr>
          <w:sz w:val="20"/>
        </w:rPr>
        <w:t xml:space="preserve">обеспечение идентификации и прослеживаемости каждой партии строительных материалов и изделий, результатов лабораторных исследований при проведении контроля;</w:t>
      </w:r>
    </w:p>
    <w:p>
      <w:pPr>
        <w:pStyle w:val="0"/>
        <w:spacing w:before="200" w:lineRule="auto"/>
        <w:ind w:firstLine="540"/>
        <w:jc w:val="both"/>
      </w:pPr>
      <w:r>
        <w:rPr>
          <w:sz w:val="20"/>
        </w:rPr>
        <w:t xml:space="preserve">обеспечение доступности и достоверности результатов лабораторных исследований и контроля, осуществляемых специализированными организациями, обладающими подтвержденными компетенциями и полномочиями на проведение такой деятельности.</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консолидация потребности строительных материалов по отраслевым направлениям строительства;</w:t>
      </w:r>
    </w:p>
    <w:p>
      <w:pPr>
        <w:pStyle w:val="0"/>
        <w:spacing w:before="200" w:lineRule="auto"/>
        <w:ind w:firstLine="540"/>
        <w:jc w:val="both"/>
      </w:pPr>
      <w:r>
        <w:rPr>
          <w:sz w:val="20"/>
        </w:rPr>
        <w:t xml:space="preserve">включение в план мероприятий по реализации национальных проектов технологий индустриального домостроения (сборно-монолитного каркаса, блочно-модульного строительства, деревянного домостроения), использование современных строительных материалов, включая алюминиевые, композитные и полимерные, а также полученные за счет вторичной переработки сырья или отходов строительства и сноса;</w:t>
      </w:r>
    </w:p>
    <w:p>
      <w:pPr>
        <w:pStyle w:val="0"/>
        <w:spacing w:before="200" w:lineRule="auto"/>
        <w:ind w:firstLine="540"/>
        <w:jc w:val="both"/>
      </w:pPr>
      <w:r>
        <w:rPr>
          <w:sz w:val="20"/>
        </w:rPr>
        <w:t xml:space="preserve">разработка мастер-плана по взаимоувязке размещения производств строительных материалов по их группам для снижения транспортных расходов на доставку от места производства к месту строительства;</w:t>
      </w:r>
    </w:p>
    <w:p>
      <w:pPr>
        <w:pStyle w:val="0"/>
        <w:spacing w:before="200" w:lineRule="auto"/>
        <w:ind w:firstLine="540"/>
        <w:jc w:val="both"/>
      </w:pPr>
      <w:r>
        <w:rPr>
          <w:sz w:val="20"/>
        </w:rPr>
        <w:t xml:space="preserve">повышение эффективности системы обязательного подтверждения соответствия установленным требованиям строительных материалов и изделий;</w:t>
      </w:r>
    </w:p>
    <w:p>
      <w:pPr>
        <w:pStyle w:val="0"/>
        <w:spacing w:before="200" w:lineRule="auto"/>
        <w:ind w:firstLine="540"/>
        <w:jc w:val="both"/>
      </w:pPr>
      <w:r>
        <w:rPr>
          <w:sz w:val="20"/>
        </w:rPr>
        <w:t xml:space="preserve">обеспечение маркетинговой и информационной поддержки производителей инновационных строительных материалов;</w:t>
      </w:r>
    </w:p>
    <w:p>
      <w:pPr>
        <w:pStyle w:val="0"/>
        <w:spacing w:before="200" w:lineRule="auto"/>
        <w:ind w:firstLine="540"/>
        <w:jc w:val="both"/>
      </w:pPr>
      <w:r>
        <w:rPr>
          <w:sz w:val="20"/>
        </w:rPr>
        <w:t xml:space="preserve">совершенствование норм и требований для внедрения и применения инновационных технологий и строительных материалов;</w:t>
      </w:r>
    </w:p>
    <w:p>
      <w:pPr>
        <w:pStyle w:val="0"/>
        <w:spacing w:before="200" w:lineRule="auto"/>
        <w:ind w:firstLine="540"/>
        <w:jc w:val="both"/>
      </w:pPr>
      <w:r>
        <w:rPr>
          <w:sz w:val="20"/>
        </w:rPr>
        <w:t xml:space="preserve">поддержка импортозамещения технологического оборудования, запчастей и комплектующих к нему для производства строительных материалов;</w:t>
      </w:r>
    </w:p>
    <w:p>
      <w:pPr>
        <w:pStyle w:val="0"/>
        <w:spacing w:before="200" w:lineRule="auto"/>
        <w:ind w:firstLine="540"/>
        <w:jc w:val="both"/>
      </w:pPr>
      <w:r>
        <w:rPr>
          <w:sz w:val="20"/>
        </w:rPr>
        <w:t xml:space="preserve">создание системы допуска и контроля деятельности строительных лабораторий, проводящих исследования при производстве материалов и изделий, используемых в процессе строительства, эксплуатации и утилизации (сносе) зданий и сооружений, а также осуществляющих исследования при проведении входного контроля, строительного контроля и строительного надзора;</w:t>
      </w:r>
    </w:p>
    <w:p>
      <w:pPr>
        <w:pStyle w:val="0"/>
        <w:spacing w:before="200" w:lineRule="auto"/>
        <w:ind w:firstLine="540"/>
        <w:jc w:val="both"/>
      </w:pPr>
      <w:r>
        <w:rPr>
          <w:sz w:val="20"/>
        </w:rPr>
        <w:t xml:space="preserve">создание системы уникальной цифровой маркировки строительных материалов и изделий, используемой для проведения контроля (надзора);</w:t>
      </w:r>
    </w:p>
    <w:p>
      <w:pPr>
        <w:pStyle w:val="0"/>
        <w:spacing w:before="200" w:lineRule="auto"/>
        <w:ind w:firstLine="540"/>
        <w:jc w:val="both"/>
      </w:pPr>
      <w:r>
        <w:rPr>
          <w:sz w:val="20"/>
        </w:rPr>
        <w:t xml:space="preserve">обеспечение интеграции результатов строительного контроля, цифровой маркировки с информационной моделью объекта капитального строительства в составе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производство основных строительных материалов сбалансировано между субъектами Российской Федерации с учетом фактической потребности в них предприятий строительной отрасли;</w:t>
      </w:r>
    </w:p>
    <w:p>
      <w:pPr>
        <w:pStyle w:val="0"/>
        <w:spacing w:before="200" w:lineRule="auto"/>
        <w:ind w:firstLine="540"/>
        <w:jc w:val="both"/>
      </w:pPr>
      <w:r>
        <w:rPr>
          <w:sz w:val="20"/>
        </w:rPr>
        <w:t xml:space="preserve">снижена зависимость от импорта строительных материалов, в первую очередь обозначенных в качестве приоритетных для импортозамещения, а также оборудования, используемого при производстве строительных материалов;</w:t>
      </w:r>
    </w:p>
    <w:p>
      <w:pPr>
        <w:pStyle w:val="0"/>
        <w:spacing w:before="200" w:lineRule="auto"/>
        <w:ind w:firstLine="540"/>
        <w:jc w:val="both"/>
      </w:pPr>
      <w:r>
        <w:rPr>
          <w:sz w:val="20"/>
        </w:rPr>
        <w:t xml:space="preserve">увеличены объемы потребления и, как следствие, производства продукции индустриального домостроения (элементов сборного каркаса, блочно-модульного домостроения), конструкций из перекрестно клееной древесины, а также современных алюминиевых, композитных и полимерных материалов;</w:t>
      </w:r>
    </w:p>
    <w:p>
      <w:pPr>
        <w:pStyle w:val="0"/>
        <w:spacing w:before="200" w:lineRule="auto"/>
        <w:ind w:firstLine="540"/>
        <w:jc w:val="both"/>
      </w:pPr>
      <w:r>
        <w:rPr>
          <w:sz w:val="20"/>
        </w:rPr>
        <w:t xml:space="preserve">внедрена система допуска и контроля деятельности строительных лабораторий в целях обеспечения надлежащих компетенций строительных лабораторий, квалификации персонала, выполняющего исследования (испытания), качества проводимых исследований (испытаний) и допуска строительных лабораторий к проведению исследований (испытаний) при осуществлении входного контроля, строительного контроля и строительного надзора;</w:t>
      </w:r>
    </w:p>
    <w:p>
      <w:pPr>
        <w:pStyle w:val="0"/>
        <w:spacing w:before="200" w:lineRule="auto"/>
        <w:ind w:firstLine="540"/>
        <w:jc w:val="both"/>
      </w:pPr>
      <w:r>
        <w:rPr>
          <w:sz w:val="20"/>
        </w:rPr>
        <w:t xml:space="preserve">система допуска и контроля деятельности строительных лабораторий обеспечивает достоверность результатов испытаний при производстве строительных материалов, проведении строительного контроля и строительного надзора;</w:t>
      </w:r>
    </w:p>
    <w:p>
      <w:pPr>
        <w:pStyle w:val="0"/>
        <w:spacing w:before="200" w:lineRule="auto"/>
        <w:ind w:firstLine="540"/>
        <w:jc w:val="both"/>
      </w:pPr>
      <w:r>
        <w:rPr>
          <w:sz w:val="20"/>
        </w:rPr>
        <w:t xml:space="preserve">введена ответственность за предоставление недостоверных сведений о результатах испытаний для всех типов строительных лабораторий;</w:t>
      </w:r>
    </w:p>
    <w:p>
      <w:pPr>
        <w:pStyle w:val="0"/>
        <w:spacing w:before="200" w:lineRule="auto"/>
        <w:ind w:firstLine="540"/>
        <w:jc w:val="both"/>
      </w:pPr>
      <w:r>
        <w:rPr>
          <w:sz w:val="20"/>
        </w:rPr>
        <w:t xml:space="preserve">снижено количество применяемых в строительстве некачественных, фальсифицированных и контрафактных строительных материалов и изделий;</w:t>
      </w:r>
    </w:p>
    <w:p>
      <w:pPr>
        <w:pStyle w:val="0"/>
        <w:spacing w:before="200" w:lineRule="auto"/>
        <w:ind w:firstLine="540"/>
        <w:jc w:val="both"/>
      </w:pPr>
      <w:r>
        <w:rPr>
          <w:sz w:val="20"/>
        </w:rPr>
        <w:t xml:space="preserve">строительные материалы и изделия однозначно идентифицированы на всех этапах жизненного цикла (от производства до утилизации);</w:t>
      </w:r>
    </w:p>
    <w:p>
      <w:pPr>
        <w:pStyle w:val="0"/>
        <w:spacing w:before="200" w:lineRule="auto"/>
        <w:ind w:firstLine="540"/>
        <w:jc w:val="both"/>
      </w:pPr>
      <w:r>
        <w:rPr>
          <w:sz w:val="20"/>
        </w:rPr>
        <w:t xml:space="preserve">создана доступная информационная цифровая среда для получения достоверной информации о проведенных испытаниях строительных материалов и изделий и их результатах для каждого объекта капитального строительства;</w:t>
      </w:r>
    </w:p>
    <w:p>
      <w:pPr>
        <w:pStyle w:val="0"/>
        <w:spacing w:before="200" w:lineRule="auto"/>
        <w:ind w:firstLine="540"/>
        <w:jc w:val="both"/>
      </w:pPr>
      <w:r>
        <w:rPr>
          <w:sz w:val="20"/>
        </w:rPr>
        <w:t xml:space="preserve">создан конкурентный рынок строительных материалов по качественным, а не ценовым признакам.</w:t>
      </w:r>
    </w:p>
    <w:p>
      <w:pPr>
        <w:pStyle w:val="0"/>
        <w:jc w:val="both"/>
      </w:pPr>
      <w:r>
        <w:rPr>
          <w:sz w:val="20"/>
        </w:rPr>
      </w:r>
    </w:p>
    <w:p>
      <w:pPr>
        <w:pStyle w:val="2"/>
        <w:outlineLvl w:val="2"/>
        <w:jc w:val="center"/>
      </w:pPr>
      <w:r>
        <w:rPr>
          <w:sz w:val="20"/>
        </w:rPr>
        <w:t xml:space="preserve">Экспорт строительных услуг</w:t>
      </w:r>
    </w:p>
    <w:p>
      <w:pPr>
        <w:pStyle w:val="0"/>
        <w:jc w:val="both"/>
      </w:pPr>
      <w:r>
        <w:rPr>
          <w:sz w:val="20"/>
        </w:rPr>
      </w:r>
    </w:p>
    <w:p>
      <w:pPr>
        <w:pStyle w:val="0"/>
        <w:ind w:firstLine="540"/>
        <w:jc w:val="both"/>
      </w:pPr>
      <w:r>
        <w:rPr>
          <w:sz w:val="20"/>
        </w:rPr>
        <w:t xml:space="preserve">Объем российского экспорта строительных услуг по итогам 2021 года составил 5,76 млрд. долларов США, что на 22,6 процента выше уровня 2020 года. Значительный прирост экспорта обусловлен восстановлением экономической активности и снятием ограничений, введенных в период распространения новой коронавирусной инфекции.</w:t>
      </w:r>
    </w:p>
    <w:p>
      <w:pPr>
        <w:pStyle w:val="0"/>
        <w:spacing w:before="200" w:lineRule="auto"/>
        <w:ind w:firstLine="540"/>
        <w:jc w:val="both"/>
      </w:pPr>
      <w:r>
        <w:rPr>
          <w:sz w:val="20"/>
        </w:rPr>
        <w:t xml:space="preserve">В экспорте российских строительных услуг преобладают услуги, оказываемые зарубежным подрядчикам по строительству объектов на территории Российской Федерации. На их долю в 2021 году приходится 55,3 процента экспорта, что на 3,9 процентных пункта меньше, чем по итогам 2020 года.</w:t>
      </w:r>
    </w:p>
    <w:p>
      <w:pPr>
        <w:pStyle w:val="0"/>
        <w:spacing w:before="200" w:lineRule="auto"/>
        <w:ind w:firstLine="540"/>
        <w:jc w:val="both"/>
      </w:pPr>
      <w:r>
        <w:rPr>
          <w:sz w:val="20"/>
        </w:rPr>
        <w:t xml:space="preserve">Наиболее перспективными (базовыми) направлениями в российском экспорте строительных услуг продолжают оставаться строительство атомных электростанций, оказание комплекса услуг по строительству инфраструктурных объектов (энергетических, транспортных, производственных), участие в реализации инфраструктурных проектов на евразийском пространстве.</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значительные барьеры выхода на зарубежные рынки строительных услуг, различия строительных правил и норм, производственных стандартов, ограничения на длительное пребывание, перемещение персонала;</w:t>
      </w:r>
    </w:p>
    <w:p>
      <w:pPr>
        <w:pStyle w:val="0"/>
        <w:spacing w:before="200" w:lineRule="auto"/>
        <w:ind w:firstLine="540"/>
        <w:jc w:val="both"/>
      </w:pPr>
      <w:r>
        <w:rPr>
          <w:sz w:val="20"/>
        </w:rPr>
        <w:t xml:space="preserve">слабая видовая диверсификация строительных услуг и снижающаяся ценовая конкурентоспособность российских поставщиков;</w:t>
      </w:r>
    </w:p>
    <w:p>
      <w:pPr>
        <w:pStyle w:val="0"/>
        <w:spacing w:before="200" w:lineRule="auto"/>
        <w:ind w:firstLine="540"/>
        <w:jc w:val="both"/>
      </w:pPr>
      <w:r>
        <w:rPr>
          <w:sz w:val="20"/>
        </w:rPr>
        <w:t xml:space="preserve">высокая степень зарегулированности отрасли оказывает негативное влияние на конкурентоспособность и экспортный потенциал строительных компаний;</w:t>
      </w:r>
    </w:p>
    <w:p>
      <w:pPr>
        <w:pStyle w:val="0"/>
        <w:spacing w:before="200" w:lineRule="auto"/>
        <w:ind w:firstLine="540"/>
        <w:jc w:val="both"/>
      </w:pPr>
      <w:r>
        <w:rPr>
          <w:sz w:val="20"/>
        </w:rPr>
        <w:t xml:space="preserve">отсутствие эффективного продвижения строительных и инжиниринговых услуг российских подрядных организаций и специалистов при реализации крупных инфраструктурных проектов за рубежом.</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поддержка развития технологических разработок в сфере строительства и инжиниринга, повышающих конкурентоспособность на зарубежных рынках;</w:t>
      </w:r>
    </w:p>
    <w:p>
      <w:pPr>
        <w:pStyle w:val="0"/>
        <w:spacing w:before="200" w:lineRule="auto"/>
        <w:ind w:firstLine="540"/>
        <w:jc w:val="both"/>
      </w:pPr>
      <w:r>
        <w:rPr>
          <w:sz w:val="20"/>
        </w:rPr>
        <w:t xml:space="preserve">создание условий для сотрудничества крупных строительных компаний и компаний малого и среднего предпринимательства;</w:t>
      </w:r>
    </w:p>
    <w:p>
      <w:pPr>
        <w:pStyle w:val="0"/>
        <w:spacing w:before="200" w:lineRule="auto"/>
        <w:ind w:firstLine="540"/>
        <w:jc w:val="both"/>
      </w:pPr>
      <w:r>
        <w:rPr>
          <w:sz w:val="20"/>
        </w:rPr>
        <w:t xml:space="preserve">создание благоприятного режима для привлечения российских субподрядчиков, поставщиков строительных товаров, услуг и технологий, в том числе из сферы малого и среднего предпринимательства, к реализации проектов флагманских отечественных компаний за рубежом.</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включение в контракты на строительство объектов за рубежом условий дальнейшего их технического обслуживания российскими специалистами;</w:t>
      </w:r>
    </w:p>
    <w:p>
      <w:pPr>
        <w:pStyle w:val="0"/>
        <w:spacing w:before="200" w:lineRule="auto"/>
        <w:ind w:firstLine="540"/>
        <w:jc w:val="both"/>
      </w:pPr>
      <w:r>
        <w:rPr>
          <w:sz w:val="20"/>
        </w:rPr>
        <w:t xml:space="preserve">проработка механизмов включения субъектов малого и среднего предпринимательства в технологические цепочки зарубежных компаний и лидеров российского рынка, работающих за рубежом;</w:t>
      </w:r>
    </w:p>
    <w:p>
      <w:pPr>
        <w:pStyle w:val="0"/>
        <w:spacing w:before="200" w:lineRule="auto"/>
        <w:ind w:firstLine="540"/>
        <w:jc w:val="both"/>
      </w:pPr>
      <w:r>
        <w:rPr>
          <w:sz w:val="20"/>
        </w:rPr>
        <w:t xml:space="preserve">разработка и внедрение механизмов включения в межгосударственные соглашения на строительство сложных объектов (атомные, нефтегазовые, космические, гидрологические и другие) условий об их комплексном решении, включающем строительство гражданских и различных обеспечивающих инженерных объектов и объектов инфраструктуры силами операторов таких соглашений и их подрядными организациями;</w:t>
      </w:r>
    </w:p>
    <w:p>
      <w:pPr>
        <w:pStyle w:val="0"/>
        <w:spacing w:before="200" w:lineRule="auto"/>
        <w:ind w:firstLine="540"/>
        <w:jc w:val="both"/>
      </w:pPr>
      <w:r>
        <w:rPr>
          <w:sz w:val="20"/>
        </w:rPr>
        <w:t xml:space="preserve">гармонизация технических стандартов и регулирования со странами Евразийского экономического союза, Шанхайской организации сотрудничества, БРИКС и другими;</w:t>
      </w:r>
    </w:p>
    <w:p>
      <w:pPr>
        <w:pStyle w:val="0"/>
        <w:spacing w:before="200" w:lineRule="auto"/>
        <w:ind w:firstLine="540"/>
        <w:jc w:val="both"/>
      </w:pPr>
      <w:r>
        <w:rPr>
          <w:sz w:val="20"/>
        </w:rPr>
        <w:t xml:space="preserve">формирование регулярно обновляемого реестра тендеров иностранных инфраструктурных проектов.</w:t>
      </w:r>
    </w:p>
    <w:p>
      <w:pPr>
        <w:pStyle w:val="0"/>
        <w:spacing w:before="200" w:lineRule="auto"/>
        <w:ind w:firstLine="540"/>
        <w:jc w:val="both"/>
      </w:pPr>
      <w:r>
        <w:rPr>
          <w:sz w:val="20"/>
        </w:rPr>
        <w:t xml:space="preserve">Результатами осуществления вышеуказанных мероприятий являются:</w:t>
      </w:r>
    </w:p>
    <w:p>
      <w:pPr>
        <w:pStyle w:val="0"/>
        <w:spacing w:before="200" w:lineRule="auto"/>
        <w:ind w:firstLine="540"/>
        <w:jc w:val="both"/>
      </w:pPr>
      <w:r>
        <w:rPr>
          <w:sz w:val="20"/>
        </w:rPr>
        <w:t xml:space="preserve">повышена конкурентоспособность отечественных компаний за рубежом;</w:t>
      </w:r>
    </w:p>
    <w:p>
      <w:pPr>
        <w:pStyle w:val="0"/>
        <w:spacing w:before="200" w:lineRule="auto"/>
        <w:ind w:firstLine="540"/>
        <w:jc w:val="both"/>
      </w:pPr>
      <w:r>
        <w:rPr>
          <w:sz w:val="20"/>
        </w:rPr>
        <w:t xml:space="preserve">созданы системообразующие условия для увеличения экспортного потенциала отрасли и увеличения количества экспортно ориентированных компаний;</w:t>
      </w:r>
    </w:p>
    <w:p>
      <w:pPr>
        <w:pStyle w:val="0"/>
        <w:spacing w:before="200" w:lineRule="auto"/>
        <w:ind w:firstLine="540"/>
        <w:jc w:val="both"/>
      </w:pPr>
      <w:r>
        <w:rPr>
          <w:sz w:val="20"/>
        </w:rPr>
        <w:t xml:space="preserve">созданы условия для развития технологических разработок в сфере строительства и инжиниринга, повышающих конкурентоспособность отечественных компаний на зарубежных рынках.</w:t>
      </w:r>
    </w:p>
    <w:p>
      <w:pPr>
        <w:pStyle w:val="0"/>
        <w:jc w:val="both"/>
      </w:pPr>
      <w:r>
        <w:rPr>
          <w:sz w:val="20"/>
        </w:rPr>
      </w:r>
    </w:p>
    <w:p>
      <w:pPr>
        <w:pStyle w:val="2"/>
        <w:outlineLvl w:val="1"/>
        <w:jc w:val="center"/>
      </w:pPr>
      <w:r>
        <w:rPr>
          <w:sz w:val="20"/>
        </w:rPr>
        <w:t xml:space="preserve">VIII. Развитие и модернизация транспортной инфраструктуры</w:t>
      </w:r>
    </w:p>
    <w:p>
      <w:pPr>
        <w:pStyle w:val="0"/>
        <w:jc w:val="both"/>
      </w:pPr>
      <w:r>
        <w:rPr>
          <w:sz w:val="20"/>
        </w:rPr>
      </w:r>
    </w:p>
    <w:p>
      <w:pPr>
        <w:pStyle w:val="0"/>
        <w:ind w:firstLine="540"/>
        <w:jc w:val="both"/>
      </w:pPr>
      <w:r>
        <w:rPr>
          <w:sz w:val="20"/>
        </w:rPr>
        <w:t xml:space="preserve">В рамках Транспортной </w:t>
      </w:r>
      <w:r>
        <w:rPr>
          <w:sz w:val="20"/>
        </w:rPr>
        <w:t xml:space="preserve">стратегии</w:t>
      </w:r>
      <w:r>
        <w:rPr>
          <w:sz w:val="20"/>
        </w:rPr>
        <w:t xml:space="preserve"> Российской Федерации до 2030 года с прогнозом на период до 2035 года, утвержденной распоряжением Правительства Российской Федерации от 27 ноября 2021 г. N 3363-р, поставлена задача до 2024 года привести в нормативное состояние не менее 85 процентов дорожной сети городских агломераций, не менее 50,9 процента автомобильных дорог регионального и межмуниципального значения.</w:t>
      </w:r>
    </w:p>
    <w:p>
      <w:pPr>
        <w:pStyle w:val="0"/>
        <w:spacing w:before="200" w:lineRule="auto"/>
        <w:ind w:firstLine="540"/>
        <w:jc w:val="both"/>
      </w:pPr>
      <w:r>
        <w:rPr>
          <w:sz w:val="20"/>
        </w:rPr>
        <w:t xml:space="preserve">В целях обеспечения единого транспортного пространства и выделения приоритетных элементов транспортной сети Российской Федерации, их развития и поддержания в нормативном состоянии сформирована Единая опорная транспортная сеть Российской Федерации.</w:t>
      </w:r>
    </w:p>
    <w:p>
      <w:pPr>
        <w:pStyle w:val="0"/>
        <w:spacing w:before="200" w:lineRule="auto"/>
        <w:ind w:firstLine="540"/>
        <w:jc w:val="both"/>
      </w:pPr>
      <w:r>
        <w:rPr>
          <w:sz w:val="20"/>
        </w:rPr>
        <w:t xml:space="preserve">Повышение качества жизни граждан, удовлетворение растущих потребностей населения и бизнеса, укрепление территориальной целостности и обеспечение доступности территорий существенно зависят не только от развития транспортной инфраструктуры, но и от формирования устойчивых сбалансированных систем транспортного обслуживания населения.</w:t>
      </w:r>
    </w:p>
    <w:p>
      <w:pPr>
        <w:pStyle w:val="0"/>
        <w:spacing w:before="200" w:lineRule="auto"/>
        <w:ind w:firstLine="540"/>
        <w:jc w:val="both"/>
      </w:pPr>
      <w:r>
        <w:rPr>
          <w:sz w:val="20"/>
        </w:rPr>
        <w:t xml:space="preserve">С ростом количества личных автомобилей в городах мобильность населения снижается. Очевидным решением данной проблемы является развитие общественного транспорта, повышение качества транспортного обслуживания населения в городах. На это направлен единый проект развития общественного транспорта и обеспечивающей инфраструктуры, мероприятия которого также должны быть синхронизированы с жилищным строительством и развитием территорий.</w:t>
      </w:r>
    </w:p>
    <w:p>
      <w:pPr>
        <w:pStyle w:val="0"/>
        <w:spacing w:before="200" w:lineRule="auto"/>
        <w:ind w:firstLine="540"/>
        <w:jc w:val="both"/>
      </w:pPr>
      <w:r>
        <w:rPr>
          <w:sz w:val="20"/>
        </w:rPr>
        <w:t xml:space="preserve">Вместе с тем существует ряд ограничений, сдерживающих развитие транспортного строительства.</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устаревшая нормативно-техническая база, препятствующая внедрению инновационных технологий и материалов;</w:t>
      </w:r>
    </w:p>
    <w:p>
      <w:pPr>
        <w:pStyle w:val="0"/>
        <w:spacing w:before="200" w:lineRule="auto"/>
        <w:ind w:firstLine="540"/>
        <w:jc w:val="both"/>
      </w:pPr>
      <w:r>
        <w:rPr>
          <w:sz w:val="20"/>
        </w:rPr>
        <w:t xml:space="preserve">отсутствие единого подхода в планировании развития объектов транспортной инфраструктуры, что создает неопределенность для строительных компаний и препятствует долгосрочному планированию;</w:t>
      </w:r>
    </w:p>
    <w:p>
      <w:pPr>
        <w:pStyle w:val="0"/>
        <w:spacing w:before="200" w:lineRule="auto"/>
        <w:ind w:firstLine="540"/>
        <w:jc w:val="both"/>
      </w:pPr>
      <w:r>
        <w:rPr>
          <w:sz w:val="20"/>
        </w:rPr>
        <w:t xml:space="preserve">высокая доля импортной строительно-дорожной техники.</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анализ цепочек поставок строительных материалов с целью выявления узких мест и содействия их преодолению;</w:t>
      </w:r>
    </w:p>
    <w:p>
      <w:pPr>
        <w:pStyle w:val="0"/>
        <w:spacing w:before="200" w:lineRule="auto"/>
        <w:ind w:firstLine="540"/>
        <w:jc w:val="both"/>
      </w:pPr>
      <w:r>
        <w:rPr>
          <w:sz w:val="20"/>
        </w:rPr>
        <w:t xml:space="preserve">формирование долгосрочного прогноза спроса на строительные услуги на базе сформированных в соответствии с Транспортной </w:t>
      </w:r>
      <w:r>
        <w:rPr>
          <w:sz w:val="20"/>
        </w:rPr>
        <w:t xml:space="preserve">стратегией</w:t>
      </w:r>
      <w:r>
        <w:rPr>
          <w:sz w:val="20"/>
        </w:rPr>
        <w:t xml:space="preserve"> Российской Федерации до 2030 года с прогнозом на период до 2035 года, утвержденной распоряжением Правительства Российской Федерации от 27 ноября 2021 г. N 3363-р, долгосрочных планов реализации транспортных проектов.</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оптимизация нормативной правовой базы для проектирования и строительства объектов транспортной инфраструктуры;</w:t>
      </w:r>
    </w:p>
    <w:p>
      <w:pPr>
        <w:pStyle w:val="0"/>
        <w:spacing w:before="200" w:lineRule="auto"/>
        <w:ind w:firstLine="540"/>
        <w:jc w:val="both"/>
      </w:pPr>
      <w:r>
        <w:rPr>
          <w:sz w:val="20"/>
        </w:rPr>
        <w:t xml:space="preserve">содействие развитию, созданию новых производств отечественной дорожно-строительной техники;</w:t>
      </w:r>
    </w:p>
    <w:p>
      <w:pPr>
        <w:pStyle w:val="0"/>
        <w:spacing w:before="200" w:lineRule="auto"/>
        <w:ind w:firstLine="540"/>
        <w:jc w:val="both"/>
      </w:pPr>
      <w:r>
        <w:rPr>
          <w:sz w:val="20"/>
        </w:rPr>
        <w:t xml:space="preserve">мониторинг имеющихся мощностей строительных компаний, строительной техники, объемов строительных материалов для планирования максимального объема строительства и определения необходимости в развитии дополнительных мощностей строительной отрасли.</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обеспечено развитие транспортной отрасли для достижения целевых показателей экономического роста в строительной отрасли;</w:t>
      </w:r>
    </w:p>
    <w:p>
      <w:pPr>
        <w:pStyle w:val="0"/>
        <w:spacing w:before="200" w:lineRule="auto"/>
        <w:ind w:firstLine="540"/>
        <w:jc w:val="both"/>
      </w:pPr>
      <w:r>
        <w:rPr>
          <w:sz w:val="20"/>
        </w:rPr>
        <w:t xml:space="preserve">увеличен объем инвестиций в строительные компании, работающие в сфере транспортной инфраструктуры;</w:t>
      </w:r>
    </w:p>
    <w:p>
      <w:pPr>
        <w:pStyle w:val="0"/>
        <w:spacing w:before="200" w:lineRule="auto"/>
        <w:ind w:firstLine="540"/>
        <w:jc w:val="both"/>
      </w:pPr>
      <w:r>
        <w:rPr>
          <w:sz w:val="20"/>
        </w:rPr>
        <w:t xml:space="preserve">достаточность материальных ресурсов, повышена производительность труда, снижены издержки строительства объектов транспортной инфраструктуры.</w:t>
      </w:r>
    </w:p>
    <w:p>
      <w:pPr>
        <w:pStyle w:val="0"/>
        <w:jc w:val="both"/>
      </w:pPr>
      <w:r>
        <w:rPr>
          <w:sz w:val="20"/>
        </w:rPr>
      </w:r>
    </w:p>
    <w:p>
      <w:pPr>
        <w:pStyle w:val="2"/>
        <w:outlineLvl w:val="1"/>
        <w:jc w:val="center"/>
      </w:pPr>
      <w:r>
        <w:rPr>
          <w:sz w:val="20"/>
        </w:rPr>
        <w:t xml:space="preserve">IX. Климатическая повестка в отрасли строительства</w:t>
      </w:r>
    </w:p>
    <w:p>
      <w:pPr>
        <w:pStyle w:val="2"/>
        <w:jc w:val="center"/>
      </w:pPr>
      <w:r>
        <w:rPr>
          <w:sz w:val="20"/>
        </w:rPr>
        <w:t xml:space="preserve">и жилищно-коммунальном хозяйстве</w:t>
      </w:r>
    </w:p>
    <w:p>
      <w:pPr>
        <w:pStyle w:val="0"/>
        <w:jc w:val="both"/>
      </w:pPr>
      <w:r>
        <w:rPr>
          <w:sz w:val="20"/>
        </w:rPr>
      </w:r>
    </w:p>
    <w:p>
      <w:pPr>
        <w:pStyle w:val="0"/>
        <w:ind w:firstLine="540"/>
        <w:jc w:val="both"/>
      </w:pPr>
      <w:r>
        <w:rPr>
          <w:sz w:val="20"/>
        </w:rPr>
        <w:t xml:space="preserve">Изменение климата в Российской Федерации характеризуется ростом среднегодовых температур во всех физико-географических регионах и федеральных округах. Годовые суммы осадков возросли на Европейской территории и в Центральной Сибири. По данным спутниковых наблюдений, площадь снежного покрова в переходные сезоны года уменьшается.</w:t>
      </w:r>
    </w:p>
    <w:p>
      <w:pPr>
        <w:pStyle w:val="0"/>
        <w:spacing w:before="200" w:lineRule="auto"/>
        <w:ind w:firstLine="540"/>
        <w:jc w:val="both"/>
      </w:pPr>
      <w:r>
        <w:rPr>
          <w:sz w:val="20"/>
        </w:rPr>
        <w:t xml:space="preserve">По данным Всемирного банка, ежегодный ущерб от воздействия опасных гидрометеорологических явлений в России составляет 30 - 60 млрд. рублей (не менее 0,05 процента валового внутреннего продукта). Поэтому адаптация к последствиям изменения климата и противодействие климатическим изменениям являются приоритетными задачами для российской экономики в целом.</w:t>
      </w:r>
    </w:p>
    <w:p>
      <w:pPr>
        <w:pStyle w:val="0"/>
        <w:spacing w:before="200" w:lineRule="auto"/>
        <w:ind w:firstLine="540"/>
        <w:jc w:val="both"/>
      </w:pPr>
      <w:r>
        <w:rPr>
          <w:sz w:val="20"/>
        </w:rPr>
        <w:t xml:space="preserve">Центральное место в рамках реализации климатической политики занимает энергоэффективность зданий, которые используют около 40 процентов всей потребляемой первичной энергии, 67 процентов всего электричества, 40 процентов всего сырья и 14 процентов всех запасов питьевой воды, а также производят 35 процентов всех выбросов углекислого газа. Снижение энергопотребления и повышение энергетической эффективности объектов капитального строительства являются одними из важных задач развития отрасли.</w:t>
      </w:r>
    </w:p>
    <w:p>
      <w:pPr>
        <w:pStyle w:val="0"/>
        <w:spacing w:before="200" w:lineRule="auto"/>
        <w:ind w:firstLine="540"/>
        <w:jc w:val="both"/>
      </w:pPr>
      <w:r>
        <w:rPr>
          <w:sz w:val="20"/>
        </w:rPr>
        <w:t xml:space="preserve">В современном мире большое внимание уделяется проблемам рационального использования энергетических ресурсов и снижения негативного воздействия на окружающую среду при их использовании.</w:t>
      </w:r>
    </w:p>
    <w:p>
      <w:pPr>
        <w:pStyle w:val="0"/>
        <w:spacing w:before="200" w:lineRule="auto"/>
        <w:ind w:firstLine="540"/>
        <w:jc w:val="both"/>
      </w:pPr>
      <w:r>
        <w:rPr>
          <w:sz w:val="20"/>
        </w:rPr>
        <w:t xml:space="preserve">По данным Национального доклада о кадастре антропогенных выбросов из источников и абсорбции поглотителями парниковых газов, не регулируемых Монреальским </w:t>
      </w:r>
      <w:r>
        <w:rPr>
          <w:sz w:val="20"/>
        </w:rPr>
        <w:t xml:space="preserve">протоколом</w:t>
      </w:r>
      <w:r>
        <w:rPr>
          <w:sz w:val="20"/>
        </w:rPr>
        <w:t xml:space="preserve">, за 1990 - 2020 годы, общий объем выбросов парниковых газов в Российской Федерации в 2020 году составил 2051,4 млн. тонн CO2-эквивалента. Совокупная доля вклада предприятий отрасли строительства и жилищно-коммунального хозяйства в формирование углеродного следа Российской Федерации составляет 441 млн. тонн CO2-эквивалента, или около 21 процента общенационального баланса выбросов парниковых газов.</w:t>
      </w:r>
    </w:p>
    <w:p>
      <w:pPr>
        <w:pStyle w:val="0"/>
        <w:spacing w:before="200" w:lineRule="auto"/>
        <w:ind w:firstLine="540"/>
        <w:jc w:val="both"/>
      </w:pPr>
      <w:r>
        <w:rPr>
          <w:sz w:val="20"/>
        </w:rPr>
        <w:t xml:space="preserve">В Российской Федерации большая часть жилого фонда не соответствует современным требованиям по энергоэффективности, а энергетическая автономность строящихся зданий зачастую невозможна.</w:t>
      </w:r>
    </w:p>
    <w:p>
      <w:pPr>
        <w:pStyle w:val="0"/>
        <w:spacing w:before="200" w:lineRule="auto"/>
        <w:ind w:firstLine="540"/>
        <w:jc w:val="both"/>
      </w:pPr>
      <w:r>
        <w:rPr>
          <w:sz w:val="20"/>
        </w:rPr>
        <w:t xml:space="preserve">Комплексная реализация мероприятий по обеспечению энергетической эффективности позволит снизить потребность в объемах выработки энергии, что, в свою очередь, будет способствовать сокращению объемов выбросов парниковых газов и снижению углеродного следа объектов строительства.</w:t>
      </w:r>
    </w:p>
    <w:p>
      <w:pPr>
        <w:pStyle w:val="0"/>
        <w:jc w:val="both"/>
      </w:pPr>
      <w:r>
        <w:rPr>
          <w:sz w:val="20"/>
        </w:rPr>
      </w:r>
    </w:p>
    <w:p>
      <w:pPr>
        <w:pStyle w:val="2"/>
        <w:outlineLvl w:val="2"/>
        <w:jc w:val="center"/>
      </w:pPr>
      <w:r>
        <w:rPr>
          <w:sz w:val="20"/>
        </w:rPr>
        <w:t xml:space="preserve">Адаптация к последствиям изменения климата</w:t>
      </w:r>
    </w:p>
    <w:p>
      <w:pPr>
        <w:pStyle w:val="0"/>
        <w:jc w:val="both"/>
      </w:pPr>
      <w:r>
        <w:rPr>
          <w:sz w:val="20"/>
        </w:rPr>
      </w:r>
    </w:p>
    <w:p>
      <w:pPr>
        <w:pStyle w:val="0"/>
        <w:ind w:firstLine="540"/>
        <w:jc w:val="both"/>
      </w:pPr>
      <w:r>
        <w:rPr>
          <w:sz w:val="20"/>
        </w:rPr>
        <w:t xml:space="preserve">Климатические изменения на территории Российской Федерации, связанные с ростом среднегодовых температур, увеличением продолжительности выпадения интенсивных осадков, ростом числа опасных гидрометеорологических явлений, существенным повышением среднегодовой температуры мерзлых пород, приводят к увеличению количества аварийных ситуаций на системах коммунальной и инженерной инфраструктуры, объектах жилищно-коммунального хозяйства, а также на промышленных и гражданских объектах.</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адаптация к неблагоприятным последствиям изменения климата промышленных, гражданских объектов и объектов инженерной инфраструктуры;</w:t>
      </w:r>
    </w:p>
    <w:p>
      <w:pPr>
        <w:pStyle w:val="0"/>
        <w:spacing w:before="200" w:lineRule="auto"/>
        <w:ind w:firstLine="540"/>
        <w:jc w:val="both"/>
      </w:pPr>
      <w:r>
        <w:rPr>
          <w:sz w:val="20"/>
        </w:rPr>
        <w:t xml:space="preserve">повышение энергоэффективности зданий и сооружений, снижение внутренних потерь энергоресурсов, в том числе электроэнергии.</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совершенствование нормативной базы технического регулирования и стандартизации, связанное с адаптацией объектов капитального строительства и сетей инженерно-технического обеспечения к климатическим изменениям;</w:t>
      </w:r>
    </w:p>
    <w:p>
      <w:pPr>
        <w:pStyle w:val="0"/>
        <w:spacing w:before="200" w:lineRule="auto"/>
        <w:ind w:firstLine="540"/>
        <w:jc w:val="both"/>
      </w:pPr>
      <w:r>
        <w:rPr>
          <w:sz w:val="20"/>
        </w:rPr>
        <w:t xml:space="preserve">внедрение технологических и инфраструктурных инноваций, повышающих устойчивость промышленных, гражданских объектов и объектов инженерной инфраструктуры к неблагоприятным погодно-климатическим воздействиям;</w:t>
      </w:r>
    </w:p>
    <w:p>
      <w:pPr>
        <w:pStyle w:val="0"/>
        <w:spacing w:before="200" w:lineRule="auto"/>
        <w:ind w:firstLine="540"/>
        <w:jc w:val="both"/>
      </w:pPr>
      <w:r>
        <w:rPr>
          <w:sz w:val="20"/>
        </w:rPr>
        <w:t xml:space="preserve">проведение системного мониторинга реализации мер по адаптации промышленных и гражданских объектов, систем коммунальной инфраструктуры, объектов жилищно-коммунального хозяйства и существующего жилищного фонда.</w:t>
      </w:r>
    </w:p>
    <w:p>
      <w:pPr>
        <w:pStyle w:val="0"/>
        <w:spacing w:before="200" w:lineRule="auto"/>
        <w:ind w:firstLine="540"/>
        <w:jc w:val="both"/>
      </w:pPr>
      <w:r>
        <w:rPr>
          <w:sz w:val="20"/>
        </w:rPr>
        <w:t xml:space="preserve">Результатом осуществления указанных мероприятий является обеспечение безопасности промышленных и гражданских объектов, систем коммунальной инфраструктуры и объектов жилищно-коммунального хозяйства от последствий изменения климата.</w:t>
      </w:r>
    </w:p>
    <w:p>
      <w:pPr>
        <w:pStyle w:val="0"/>
        <w:jc w:val="both"/>
      </w:pPr>
      <w:r>
        <w:rPr>
          <w:sz w:val="20"/>
        </w:rPr>
      </w:r>
    </w:p>
    <w:p>
      <w:pPr>
        <w:pStyle w:val="2"/>
        <w:outlineLvl w:val="2"/>
        <w:jc w:val="center"/>
      </w:pPr>
      <w:r>
        <w:rPr>
          <w:sz w:val="20"/>
        </w:rPr>
        <w:t xml:space="preserve">Охрана окружающей среды, снижение объема выбросов парниковых</w:t>
      </w:r>
    </w:p>
    <w:p>
      <w:pPr>
        <w:pStyle w:val="2"/>
        <w:jc w:val="center"/>
      </w:pPr>
      <w:r>
        <w:rPr>
          <w:sz w:val="20"/>
        </w:rPr>
        <w:t xml:space="preserve">газов и энергетическая эффективность</w:t>
      </w:r>
    </w:p>
    <w:p>
      <w:pPr>
        <w:pStyle w:val="0"/>
        <w:jc w:val="both"/>
      </w:pPr>
      <w:r>
        <w:rPr>
          <w:sz w:val="20"/>
        </w:rPr>
      </w:r>
    </w:p>
    <w:p>
      <w:pPr>
        <w:pStyle w:val="0"/>
        <w:ind w:firstLine="540"/>
        <w:jc w:val="both"/>
      </w:pPr>
      <w:r>
        <w:rPr>
          <w:sz w:val="20"/>
        </w:rPr>
        <w:t xml:space="preserve">Основными направлениями обеспечения снижения выбросов парниковых газов и повышения энергетической эффективности в сфере жилищно-коммунального хозяйства будут являться мероприятия по модернизации и повышению эффективности объектов и систем коммунальной инфраструктуры, а также проведение капитального ремонта многоквартирных домов, общественных и промышленных зданий, обеспечивающего повышение их энергоэффективности.</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низкая мотивация строительства многоквартирных домов наивысших классов энергетической эффективности и применения технологий "зеленого строительства";</w:t>
      </w:r>
    </w:p>
    <w:p>
      <w:pPr>
        <w:pStyle w:val="0"/>
        <w:spacing w:before="200" w:lineRule="auto"/>
        <w:ind w:firstLine="540"/>
        <w:jc w:val="both"/>
      </w:pPr>
      <w:r>
        <w:rPr>
          <w:sz w:val="20"/>
        </w:rPr>
        <w:t xml:space="preserve">уровень потребления топлива населением для бытовых нужд (в первую очередь на отопление) и, соответственно, уровень выбросов парниковых газов в бытовом секторе сопоставимы с объемом топливных затрат и выбросов парниковых газов от выработки тепла всего коммунального сектора. В настоящее время около 20 процентов индивидуальных жилых домов в Российской Федерации отапливаются дизельным и иными видами жидкого топлива;</w:t>
      </w:r>
    </w:p>
    <w:p>
      <w:pPr>
        <w:pStyle w:val="0"/>
        <w:spacing w:before="200" w:lineRule="auto"/>
        <w:ind w:firstLine="540"/>
        <w:jc w:val="both"/>
      </w:pPr>
      <w:r>
        <w:rPr>
          <w:sz w:val="20"/>
        </w:rPr>
        <w:t xml:space="preserve">низкая мотивация использования строительными организациями и предприятиями жилищно-коммунальной сферы возобновляемых источников энергии и вторичных энергоресурсов при строительстве и реконструкции зданий, снижения выбросов загрязняющих веществ и парниковых газов в атмосферный воздух, предотвращения дальнейшего загрязнения и уменьшения уровня загрязнения атмосферного воздуха, сокращения технологических потерь, повышения экологической и энергетической эффективности;</w:t>
      </w:r>
    </w:p>
    <w:p>
      <w:pPr>
        <w:pStyle w:val="0"/>
        <w:spacing w:before="200" w:lineRule="auto"/>
        <w:ind w:firstLine="540"/>
        <w:jc w:val="both"/>
      </w:pPr>
      <w:r>
        <w:rPr>
          <w:sz w:val="20"/>
        </w:rPr>
        <w:t xml:space="preserve">недостаточный объем мероприятий по энергосбережению и повышению энергетической эффективности.</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формирование системы технических и организационных требований, направленных на обеспечение рационального природопользования, сокращение потребления энергетических ресурсов и снижение вредных воздействий на окружающую среду, использование возобновляемых и вторичных энергетических ресурсов, рационального водопользования;</w:t>
      </w:r>
    </w:p>
    <w:p>
      <w:pPr>
        <w:pStyle w:val="0"/>
        <w:spacing w:before="200" w:lineRule="auto"/>
        <w:ind w:firstLine="540"/>
        <w:jc w:val="both"/>
      </w:pPr>
      <w:r>
        <w:rPr>
          <w:sz w:val="20"/>
        </w:rPr>
        <w:t xml:space="preserve">создание единой системы отражения состояния жилищно-коммунального хозяйства с точки зрения выбросов парниковых газов предприятиями и организациями отрасли и разработка отраслевого углеродного стандарта для оценки "зеленых" проектов;</w:t>
      </w:r>
    </w:p>
    <w:p>
      <w:pPr>
        <w:pStyle w:val="0"/>
        <w:spacing w:before="200" w:lineRule="auto"/>
        <w:ind w:firstLine="540"/>
        <w:jc w:val="both"/>
      </w:pPr>
      <w:r>
        <w:rPr>
          <w:sz w:val="20"/>
        </w:rPr>
        <w:t xml:space="preserve">создание условий для снижения совокупного объема выбросов парниковых газов при строительстве и эксплуатации объектов капитального строительства и инженерной инфраструктуры до 2030 года;</w:t>
      </w:r>
    </w:p>
    <w:p>
      <w:pPr>
        <w:pStyle w:val="0"/>
        <w:spacing w:before="200" w:lineRule="auto"/>
        <w:ind w:firstLine="540"/>
        <w:jc w:val="both"/>
      </w:pPr>
      <w:r>
        <w:rPr>
          <w:sz w:val="20"/>
        </w:rPr>
        <w:t xml:space="preserve">реализация типовых верифицированных проектов по снижению выбросов парниковых газов с соответствующим внесением в реестр углеродных единиц;</w:t>
      </w:r>
    </w:p>
    <w:p>
      <w:pPr>
        <w:pStyle w:val="0"/>
        <w:spacing w:before="200" w:lineRule="auto"/>
        <w:ind w:firstLine="540"/>
        <w:jc w:val="both"/>
      </w:pPr>
      <w:r>
        <w:rPr>
          <w:sz w:val="20"/>
        </w:rPr>
        <w:t xml:space="preserve">создание системы мониторинга по показателям снижения выбросов парниковых газов, а также экологических рисков, включая риски, связанные с деградацией вечной мерзлоты;</w:t>
      </w:r>
    </w:p>
    <w:p>
      <w:pPr>
        <w:pStyle w:val="0"/>
        <w:spacing w:before="200" w:lineRule="auto"/>
        <w:ind w:firstLine="540"/>
        <w:jc w:val="both"/>
      </w:pPr>
      <w:r>
        <w:rPr>
          <w:sz w:val="20"/>
        </w:rPr>
        <w:t xml:space="preserve">обеспечение доступности строительства или приобретения индивидуального жилого дома, модернизации существующих индивидуальных жилых домов с целью перевода отопления на более экологичные виды топлива;</w:t>
      </w:r>
    </w:p>
    <w:p>
      <w:pPr>
        <w:pStyle w:val="0"/>
        <w:spacing w:before="200" w:lineRule="auto"/>
        <w:ind w:firstLine="540"/>
        <w:jc w:val="both"/>
      </w:pPr>
      <w:r>
        <w:rPr>
          <w:sz w:val="20"/>
        </w:rPr>
        <w:t xml:space="preserve">внедрение технологий, направленных на снижение объема или массы выбросов загрязняющих веществ в атмосферный воздух и сбросов загрязняющих веществ в водные объекты при осуществлении строительной деятельности, а также при эксплуатации объектов коммунальной инфраструктуры, жилищного фонда, общественных и промышленных зданий.</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в части коммунальной инфраструктуры:</w:t>
      </w:r>
    </w:p>
    <w:p>
      <w:pPr>
        <w:pStyle w:val="0"/>
        <w:spacing w:before="200" w:lineRule="auto"/>
        <w:ind w:firstLine="540"/>
        <w:jc w:val="both"/>
      </w:pPr>
      <w:r>
        <w:rPr>
          <w:sz w:val="20"/>
        </w:rPr>
        <w:t xml:space="preserve">создание банка типовых верифицированных проектов в сфере водоснабжения и водоотведения, теплоснабжения по снижению выбросов парниковых газов;</w:t>
      </w:r>
    </w:p>
    <w:p>
      <w:pPr>
        <w:pStyle w:val="0"/>
        <w:spacing w:before="200" w:lineRule="auto"/>
        <w:ind w:firstLine="540"/>
        <w:jc w:val="both"/>
      </w:pPr>
      <w:r>
        <w:rPr>
          <w:sz w:val="20"/>
        </w:rPr>
        <w:t xml:space="preserve">мониторинг объемов выбросов парниковых газов на объектах теплоснабжения, водоснабжения, водоотведения, формирование системы контроля и учета проведения энергоэффективной модернизации таких объектов;</w:t>
      </w:r>
    </w:p>
    <w:p>
      <w:pPr>
        <w:pStyle w:val="0"/>
        <w:spacing w:before="200" w:lineRule="auto"/>
        <w:ind w:firstLine="540"/>
        <w:jc w:val="both"/>
      </w:pPr>
      <w:r>
        <w:rPr>
          <w:sz w:val="20"/>
        </w:rPr>
        <w:t xml:space="preserve">информационное обеспечение и обучение в области повышения энергетической эффективности объектов коммунальной инфраструктуры;</w:t>
      </w:r>
    </w:p>
    <w:p>
      <w:pPr>
        <w:pStyle w:val="0"/>
        <w:spacing w:before="200" w:lineRule="auto"/>
        <w:ind w:firstLine="540"/>
        <w:jc w:val="both"/>
      </w:pPr>
      <w:r>
        <w:rPr>
          <w:sz w:val="20"/>
        </w:rPr>
        <w:t xml:space="preserve">развитие инструментов энергосервисных контрактов, контрактов, заключенных в соответствии со стандартами социальной и экологической ответственности, конкурентоспособности;</w:t>
      </w:r>
    </w:p>
    <w:p>
      <w:pPr>
        <w:pStyle w:val="0"/>
        <w:spacing w:before="200" w:lineRule="auto"/>
        <w:ind w:firstLine="540"/>
        <w:jc w:val="both"/>
      </w:pPr>
      <w:r>
        <w:rPr>
          <w:sz w:val="20"/>
        </w:rPr>
        <w:t xml:space="preserve">обеспечение приоритета модернизации комбинированных источников тепловой и электрической энергии;</w:t>
      </w:r>
    </w:p>
    <w:p>
      <w:pPr>
        <w:pStyle w:val="0"/>
        <w:spacing w:before="200" w:lineRule="auto"/>
        <w:ind w:firstLine="540"/>
        <w:jc w:val="both"/>
      </w:pPr>
      <w:r>
        <w:rPr>
          <w:sz w:val="20"/>
        </w:rPr>
        <w:t xml:space="preserve">в части жилищного фонда, общественных и промышленных зданий:</w:t>
      </w:r>
    </w:p>
    <w:p>
      <w:pPr>
        <w:pStyle w:val="0"/>
        <w:spacing w:before="200" w:lineRule="auto"/>
        <w:ind w:firstLine="540"/>
        <w:jc w:val="both"/>
      </w:pPr>
      <w:r>
        <w:rPr>
          <w:sz w:val="20"/>
        </w:rPr>
        <w:t xml:space="preserve">проведение оценки уровня (класса) энергоэффективности многоквартирных домов по методике экспресс-оценки потенциала экономии энергетических ресурсов в многоквартирных домах на основе сравнения фактических показателей с показателями аналогичных многоквартирных домов и нормативным значением для многоквартирных домов этого типа с использованием данных о фактически потребляемых коммунальных ресурсах;</w:t>
      </w:r>
    </w:p>
    <w:p>
      <w:pPr>
        <w:pStyle w:val="0"/>
        <w:spacing w:before="200" w:lineRule="auto"/>
        <w:ind w:firstLine="540"/>
        <w:jc w:val="both"/>
      </w:pPr>
      <w:r>
        <w:rPr>
          <w:sz w:val="20"/>
        </w:rPr>
        <w:t xml:space="preserve">создание банка типовых верифицированных проектов капитального ремонта (или модернизации) многоквартирных домов, обеспечивающего повышение их энергоэффективности;</w:t>
      </w:r>
    </w:p>
    <w:p>
      <w:pPr>
        <w:pStyle w:val="0"/>
        <w:spacing w:before="200" w:lineRule="auto"/>
        <w:ind w:firstLine="540"/>
        <w:jc w:val="both"/>
      </w:pPr>
      <w:r>
        <w:rPr>
          <w:sz w:val="20"/>
        </w:rPr>
        <w:t xml:space="preserve">внедрение автоматизированных систем управления энергопотреблением и учета ресурсов, повышение уровня технической оснащенности инженерно-технического обеспечения;</w:t>
      </w:r>
    </w:p>
    <w:p>
      <w:pPr>
        <w:pStyle w:val="0"/>
        <w:spacing w:before="200" w:lineRule="auto"/>
        <w:ind w:firstLine="540"/>
        <w:jc w:val="both"/>
      </w:pPr>
      <w:r>
        <w:rPr>
          <w:sz w:val="20"/>
        </w:rPr>
        <w:t xml:space="preserve">установка узлов погодного регулирования в многоквартирных домах;</w:t>
      </w:r>
    </w:p>
    <w:p>
      <w:pPr>
        <w:pStyle w:val="0"/>
        <w:spacing w:before="200" w:lineRule="auto"/>
        <w:ind w:firstLine="540"/>
        <w:jc w:val="both"/>
      </w:pPr>
      <w:r>
        <w:rPr>
          <w:sz w:val="20"/>
        </w:rPr>
        <w:t xml:space="preserve">доведение доли потребления коммунальных ресурсов в многоквартирных домах с использованием приборов учета до 100 процентов, за исключением многоквартирных домов, на которые не распространяется требование об обязательной установке приборов учета;</w:t>
      </w:r>
    </w:p>
    <w:p>
      <w:pPr>
        <w:pStyle w:val="0"/>
        <w:spacing w:before="200" w:lineRule="auto"/>
        <w:ind w:firstLine="540"/>
        <w:jc w:val="both"/>
      </w:pPr>
      <w:r>
        <w:rPr>
          <w:sz w:val="20"/>
        </w:rPr>
        <w:t xml:space="preserve">стимулирование к эффективному потреблению тепловой энергии в жилищном фонде, развитие инструментов энергосервисных контрактов;</w:t>
      </w:r>
    </w:p>
    <w:p>
      <w:pPr>
        <w:pStyle w:val="0"/>
        <w:spacing w:before="200" w:lineRule="auto"/>
        <w:ind w:firstLine="540"/>
        <w:jc w:val="both"/>
      </w:pPr>
      <w:r>
        <w:rPr>
          <w:sz w:val="20"/>
        </w:rPr>
        <w:t xml:space="preserve">разработка мер по декарбонизации индивидуальных жилых домов и переводу отопительных систем в индивидуальных жилых домах с низкоэкологичных видов топлива на более экологичные;</w:t>
      </w:r>
    </w:p>
    <w:p>
      <w:pPr>
        <w:pStyle w:val="0"/>
        <w:spacing w:before="200" w:lineRule="auto"/>
        <w:ind w:firstLine="540"/>
        <w:jc w:val="both"/>
      </w:pPr>
      <w:r>
        <w:rPr>
          <w:sz w:val="20"/>
        </w:rPr>
        <w:t xml:space="preserve">в части строительства:</w:t>
      </w:r>
    </w:p>
    <w:p>
      <w:pPr>
        <w:pStyle w:val="0"/>
        <w:spacing w:before="200" w:lineRule="auto"/>
        <w:ind w:firstLine="540"/>
        <w:jc w:val="both"/>
      </w:pPr>
      <w:r>
        <w:rPr>
          <w:sz w:val="20"/>
        </w:rPr>
        <w:t xml:space="preserve">совершенствование нормативной правовой базы, технического регулирования и стандартизации для внедрения энергоэффективных и экологичных технологий и материалов, в том числе вторичных материальных ресурсов, полученных в результате утилизации отходов производства и потребления, использования возобновляемых источников энергии и вторичных энергоресурсов;</w:t>
      </w:r>
    </w:p>
    <w:p>
      <w:pPr>
        <w:pStyle w:val="0"/>
        <w:spacing w:before="200" w:lineRule="auto"/>
        <w:ind w:firstLine="540"/>
        <w:jc w:val="both"/>
      </w:pPr>
      <w:r>
        <w:rPr>
          <w:sz w:val="20"/>
        </w:rPr>
        <w:t xml:space="preserve">информационное обеспечение и обучение в области повышения энергетической эффективности зданий, строений и сооружений;</w:t>
      </w:r>
    </w:p>
    <w:p>
      <w:pPr>
        <w:pStyle w:val="0"/>
        <w:spacing w:before="200" w:lineRule="auto"/>
        <w:ind w:firstLine="540"/>
        <w:jc w:val="both"/>
      </w:pPr>
      <w:r>
        <w:rPr>
          <w:sz w:val="20"/>
        </w:rPr>
        <w:t xml:space="preserve">изучение и освоение международных рейтинговых систем оценки объектов "зеленого строительства", информационного подхода к проектированию, строительства зданий на основе методологии оценки жизненного цикла;</w:t>
      </w:r>
    </w:p>
    <w:p>
      <w:pPr>
        <w:pStyle w:val="0"/>
        <w:spacing w:before="200" w:lineRule="auto"/>
        <w:ind w:firstLine="540"/>
        <w:jc w:val="both"/>
      </w:pPr>
      <w:r>
        <w:rPr>
          <w:sz w:val="20"/>
        </w:rPr>
        <w:t xml:space="preserve">разработка эколого-экономической модели жизненного цикла эффективного здания.</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в части коммунальной инфраструктуры:</w:t>
      </w:r>
    </w:p>
    <w:p>
      <w:pPr>
        <w:pStyle w:val="0"/>
        <w:spacing w:before="200" w:lineRule="auto"/>
        <w:ind w:firstLine="540"/>
        <w:jc w:val="both"/>
      </w:pPr>
      <w:r>
        <w:rPr>
          <w:sz w:val="20"/>
        </w:rPr>
        <w:t xml:space="preserve">снижен выброс парниковых газов на 7,83 млн. тонн эквивалента углекислого газа (по отношению к уровню 2019 года) за счет снижения потерь на тепловых сетях в результате проведения их ежегодной замены;</w:t>
      </w:r>
    </w:p>
    <w:p>
      <w:pPr>
        <w:pStyle w:val="0"/>
        <w:spacing w:before="200" w:lineRule="auto"/>
        <w:ind w:firstLine="540"/>
        <w:jc w:val="both"/>
      </w:pPr>
      <w:r>
        <w:rPr>
          <w:sz w:val="20"/>
        </w:rPr>
        <w:t xml:space="preserve">снижен выброс парниковых газов на 12 млн. тонн эквивалента углекислого газа (по отношению к уровню 2019 года) за счет повышения экологичности объектов тепловой генерации вследствие их ежегодной модернизации с замещением низкоэкологичных видов топлива (уголь, мазут) на газовое топливо;</w:t>
      </w:r>
    </w:p>
    <w:p>
      <w:pPr>
        <w:pStyle w:val="0"/>
        <w:spacing w:before="200" w:lineRule="auto"/>
        <w:ind w:firstLine="540"/>
        <w:jc w:val="both"/>
      </w:pPr>
      <w:r>
        <w:rPr>
          <w:sz w:val="20"/>
        </w:rPr>
        <w:t xml:space="preserve">в части жилищного фонда, общественных и промышленных зданий:</w:t>
      </w:r>
    </w:p>
    <w:p>
      <w:pPr>
        <w:pStyle w:val="0"/>
        <w:spacing w:before="200" w:lineRule="auto"/>
        <w:ind w:firstLine="540"/>
        <w:jc w:val="both"/>
      </w:pPr>
      <w:r>
        <w:rPr>
          <w:sz w:val="20"/>
        </w:rPr>
        <w:t xml:space="preserve">снижен выброс парниковых газов за счет проведения энергоэффективной модернизации многоквартирных домов, зданий и сооружений;</w:t>
      </w:r>
    </w:p>
    <w:p>
      <w:pPr>
        <w:pStyle w:val="0"/>
        <w:spacing w:before="200" w:lineRule="auto"/>
        <w:ind w:firstLine="540"/>
        <w:jc w:val="both"/>
      </w:pPr>
      <w:r>
        <w:rPr>
          <w:sz w:val="20"/>
        </w:rPr>
        <w:t xml:space="preserve">снижено потребление тепловой энергии за счет проведения энергоэффективной модернизации многоквартирных домов, зданий и сооружений;</w:t>
      </w:r>
    </w:p>
    <w:p>
      <w:pPr>
        <w:pStyle w:val="0"/>
        <w:spacing w:before="200" w:lineRule="auto"/>
        <w:ind w:firstLine="540"/>
        <w:jc w:val="both"/>
      </w:pPr>
      <w:r>
        <w:rPr>
          <w:sz w:val="20"/>
        </w:rPr>
        <w:t xml:space="preserve">в части строительства:</w:t>
      </w:r>
    </w:p>
    <w:p>
      <w:pPr>
        <w:pStyle w:val="0"/>
        <w:spacing w:before="200" w:lineRule="auto"/>
        <w:ind w:firstLine="540"/>
        <w:jc w:val="both"/>
      </w:pPr>
      <w:r>
        <w:rPr>
          <w:sz w:val="20"/>
        </w:rPr>
        <w:t xml:space="preserve">для вновь создаваемых зданий, строений, сооружений (в том числе многоквартирных домов) удельная характеристика расхода тепловой энергии на отопление и вентиляцию уменьшается:</w:t>
      </w:r>
    </w:p>
    <w:p>
      <w:pPr>
        <w:pStyle w:val="0"/>
        <w:spacing w:before="200" w:lineRule="auto"/>
        <w:ind w:firstLine="540"/>
        <w:jc w:val="both"/>
      </w:pPr>
      <w:r>
        <w:rPr>
          <w:sz w:val="20"/>
        </w:rPr>
        <w:t xml:space="preserve">с 1 января 2025 г. - на 25 процентов по отношению к аналогичному показателю 2017 года;</w:t>
      </w:r>
    </w:p>
    <w:p>
      <w:pPr>
        <w:pStyle w:val="0"/>
        <w:spacing w:before="200" w:lineRule="auto"/>
        <w:ind w:firstLine="540"/>
        <w:jc w:val="both"/>
      </w:pPr>
      <w:r>
        <w:rPr>
          <w:sz w:val="20"/>
        </w:rPr>
        <w:t xml:space="preserve">с 1 января 2030 г. - на 40 процентов по отношению к аналогичному показателю 2017 года;</w:t>
      </w:r>
    </w:p>
    <w:p>
      <w:pPr>
        <w:pStyle w:val="0"/>
        <w:spacing w:before="200" w:lineRule="auto"/>
        <w:ind w:firstLine="540"/>
        <w:jc w:val="both"/>
      </w:pPr>
      <w:r>
        <w:rPr>
          <w:sz w:val="20"/>
        </w:rPr>
        <w:t xml:space="preserve">установлены требования по энергетической эффективности зданий, строений, сооружений, отвечающие современному уровню технологического развития строительного комплекса;</w:t>
      </w:r>
    </w:p>
    <w:p>
      <w:pPr>
        <w:pStyle w:val="0"/>
        <w:spacing w:before="200" w:lineRule="auto"/>
        <w:ind w:firstLine="540"/>
        <w:jc w:val="both"/>
      </w:pPr>
      <w:r>
        <w:rPr>
          <w:sz w:val="20"/>
        </w:rPr>
        <w:t xml:space="preserve">установлены требования к определению класса энергетической эффективности для вновь построенных, реконструированных, прошедших капитальный ремонт, эксплуатируемых многоквартирных домов;</w:t>
      </w:r>
    </w:p>
    <w:p>
      <w:pPr>
        <w:pStyle w:val="0"/>
        <w:spacing w:before="200" w:lineRule="auto"/>
        <w:ind w:firstLine="540"/>
        <w:jc w:val="both"/>
      </w:pPr>
      <w:r>
        <w:rPr>
          <w:sz w:val="20"/>
        </w:rPr>
        <w:t xml:space="preserve">сформирован реестр "зеленого жилья";</w:t>
      </w:r>
    </w:p>
    <w:p>
      <w:pPr>
        <w:pStyle w:val="0"/>
        <w:spacing w:before="200" w:lineRule="auto"/>
        <w:ind w:firstLine="540"/>
        <w:jc w:val="both"/>
      </w:pPr>
      <w:r>
        <w:rPr>
          <w:sz w:val="20"/>
        </w:rPr>
        <w:t xml:space="preserve">снижено потребление коммунальных ресурсов для "зеленых зданий".</w:t>
      </w:r>
    </w:p>
    <w:p>
      <w:pPr>
        <w:pStyle w:val="0"/>
        <w:jc w:val="both"/>
      </w:pPr>
      <w:r>
        <w:rPr>
          <w:sz w:val="20"/>
        </w:rPr>
      </w:r>
    </w:p>
    <w:p>
      <w:pPr>
        <w:pStyle w:val="2"/>
        <w:outlineLvl w:val="1"/>
        <w:jc w:val="center"/>
      </w:pPr>
      <w:r>
        <w:rPr>
          <w:sz w:val="20"/>
        </w:rPr>
        <w:t xml:space="preserve">X. Цифровая трансформация отрасли строительства</w:t>
      </w:r>
    </w:p>
    <w:p>
      <w:pPr>
        <w:pStyle w:val="2"/>
        <w:jc w:val="center"/>
      </w:pPr>
      <w:r>
        <w:rPr>
          <w:sz w:val="20"/>
        </w:rPr>
        <w:t xml:space="preserve">и жилищно-коммунального хозяйства</w:t>
      </w:r>
    </w:p>
    <w:p>
      <w:pPr>
        <w:pStyle w:val="0"/>
        <w:jc w:val="both"/>
      </w:pPr>
      <w:r>
        <w:rPr>
          <w:sz w:val="20"/>
        </w:rPr>
      </w:r>
    </w:p>
    <w:p>
      <w:pPr>
        <w:pStyle w:val="0"/>
        <w:ind w:firstLine="540"/>
        <w:jc w:val="both"/>
      </w:pPr>
      <w:r>
        <w:rPr>
          <w:sz w:val="20"/>
        </w:rPr>
        <w:t xml:space="preserve">Цифровизация в строительстве и жилищно-коммунальном хозяйстве является передовым инструментом достижения стратегических целей и национальных задач. Целевым ориентиром мероприятий цифровой трансформации являются формирование и развитие цифровой системы управления жизненным циклом объектов капитального строительства, городского и жилищно-коммунального хозяйства, отвечающей современным отраслевым вызовам.</w:t>
      </w:r>
    </w:p>
    <w:p>
      <w:pPr>
        <w:pStyle w:val="0"/>
        <w:spacing w:before="200" w:lineRule="auto"/>
        <w:ind w:firstLine="540"/>
        <w:jc w:val="both"/>
      </w:pPr>
      <w:r>
        <w:rPr>
          <w:sz w:val="20"/>
        </w:rPr>
        <w:t xml:space="preserve">В результате перехода на цифровые технологии проектирования и управления производственными и эксплуатационными процессами, внедрения цифровых решений, обеспечения цифрового взаимодействия с заказчиками, подрядчиками и конечными потребителями продукции и услуг, а также с финансово-кредитными и институциональными организациями повышаются качество управленческих решений, прозрачность и доступность выполняемых работ и услуг, сокращаются сроки их оказания, снижается себестоимость, что приводит к повышению инвестиционной привлекательности строительной отрасли и жилищно-коммунального хозяйства.</w:t>
      </w:r>
    </w:p>
    <w:p>
      <w:pPr>
        <w:pStyle w:val="0"/>
        <w:spacing w:before="200" w:lineRule="auto"/>
        <w:ind w:firstLine="540"/>
        <w:jc w:val="both"/>
      </w:pPr>
      <w:r>
        <w:rPr>
          <w:sz w:val="20"/>
        </w:rPr>
        <w:t xml:space="preserve">Разработаны нормативные правовые акты, обеспечивающие возможность использования технологии информационного моделирования не только в практической деятельности проектных и строительных организаций, но и при взаимодействии с органами власти, осуществляющими полномочия по проведению государственной экспертизы проектной документации, государственного строительного надзора, выдаче разрешений на строительство.</w:t>
      </w:r>
    </w:p>
    <w:p>
      <w:pPr>
        <w:pStyle w:val="0"/>
        <w:spacing w:before="200" w:lineRule="auto"/>
        <w:ind w:firstLine="540"/>
        <w:jc w:val="both"/>
      </w:pPr>
      <w:r>
        <w:rPr>
          <w:sz w:val="20"/>
        </w:rPr>
        <w:t xml:space="preserve">Функционируют государственная информационная система "Единый государственный реестр заключений экспертизы проектной документации объектов капитального строительства", автоматизированная информационная система публично-правовой компании "Фонд развития территорий", государственная информационная система жилищно-коммунального хозяйства, единая информационная система жилищного строительства, федеральная государственная информационная система ценообразования в строительстве, информационно-аналитическая система управления инвестиционно-строительными проектами, комплексная информационная система Министерства строительства и жилищно-коммунального хозяйства Российской Федерации.</w:t>
      </w:r>
    </w:p>
    <w:p>
      <w:pPr>
        <w:pStyle w:val="0"/>
        <w:jc w:val="both"/>
      </w:pPr>
      <w:r>
        <w:rPr>
          <w:sz w:val="20"/>
        </w:rPr>
        <w:t xml:space="preserve">(в ред. </w:t>
      </w:r>
      <w:r>
        <w:rPr>
          <w:sz w:val="20"/>
        </w:rPr>
        <w:t xml:space="preserve">Постановления</w:t>
      </w:r>
      <w:r>
        <w:rPr>
          <w:sz w:val="20"/>
        </w:rPr>
        <w:t xml:space="preserve"> Правительства РФ от 20.09.2023 N 1529)</w:t>
      </w:r>
    </w:p>
    <w:p>
      <w:pPr>
        <w:pStyle w:val="0"/>
        <w:spacing w:before="200" w:lineRule="auto"/>
        <w:ind w:firstLine="540"/>
        <w:jc w:val="both"/>
      </w:pPr>
      <w:r>
        <w:rPr>
          <w:sz w:val="20"/>
        </w:rPr>
        <w:t xml:space="preserve">Наличие таких реестров и систем является основой для формирования единой цифровой среды, позволяющей обеспечить создание информационных систем, при условии применения технологий информационного моделирования, переводимых в ресурс информации об объектах капитального строительства на всем протяжении жизненного цикла.</w:t>
      </w:r>
    </w:p>
    <w:p>
      <w:pPr>
        <w:pStyle w:val="0"/>
        <w:spacing w:before="200" w:lineRule="auto"/>
        <w:ind w:firstLine="540"/>
        <w:jc w:val="both"/>
      </w:pPr>
      <w:r>
        <w:rPr>
          <w:sz w:val="20"/>
        </w:rPr>
        <w:t xml:space="preserve">При помощи алгоритмов машинного обучения в единой информационной системе жилищного строительства реализован мониторинг объектов строительства с целью выявления возможных срывов сроков ввода в эксплуатацию, а также сформирована интегральная аналитическая платформа.</w:t>
      </w:r>
    </w:p>
    <w:p>
      <w:pPr>
        <w:pStyle w:val="0"/>
        <w:spacing w:before="200" w:lineRule="auto"/>
        <w:ind w:firstLine="540"/>
        <w:jc w:val="both"/>
      </w:pPr>
      <w:r>
        <w:rPr>
          <w:sz w:val="20"/>
        </w:rPr>
        <w:t xml:space="preserve">Количество взаимодействий участников отрасли с различными органами управления ежегодно превышает 2 миллиона транзакций. Наиболее массовыми операциями являются выдача градостроительного плана земельного участка, выдача разрешений на строительство, на ввод в эксплуатацию, получение уведомлений при начале и окончании строительства индивидуального жилого дома, а также процедуры в области экспертизы и строительного надзора.</w:t>
      </w:r>
    </w:p>
    <w:p>
      <w:pPr>
        <w:pStyle w:val="0"/>
        <w:spacing w:before="200" w:lineRule="auto"/>
        <w:ind w:firstLine="540"/>
        <w:jc w:val="both"/>
      </w:pPr>
      <w:r>
        <w:rPr>
          <w:sz w:val="20"/>
        </w:rPr>
        <w:t xml:space="preserve">Повышению скорости и эффективности взаимодействия способствовали вывод 20 услуг в сфере строительства на единый портал государственных и муниципальных услуг, а также запуск базовой версии суперсервиса "Цифровое строительство".</w:t>
      </w:r>
    </w:p>
    <w:p>
      <w:pPr>
        <w:pStyle w:val="0"/>
        <w:spacing w:before="200" w:lineRule="auto"/>
        <w:ind w:firstLine="540"/>
        <w:jc w:val="both"/>
      </w:pPr>
      <w:r>
        <w:rPr>
          <w:sz w:val="20"/>
        </w:rPr>
        <w:t xml:space="preserve">Обеспечение завершения проводимых мероприятий в совокупности с созданием единой прогнозно-аналитической вертикали в строительной отрасли и жилищно-коммунального хозяйства позволит снизить административную нагрузку в рамках процедур, связанных с инвестиционно-строительным циклом, сократить транзакционные издержки взаимоотношений агентов и обеспечить оперативную и эффективную систему принятия управленческих решений на всех уровнях.</w:t>
      </w:r>
    </w:p>
    <w:p>
      <w:pPr>
        <w:pStyle w:val="0"/>
        <w:spacing w:before="200" w:lineRule="auto"/>
        <w:ind w:firstLine="540"/>
        <w:jc w:val="both"/>
      </w:pPr>
      <w:r>
        <w:rPr>
          <w:sz w:val="20"/>
        </w:rPr>
        <w:t xml:space="preserve">Цифровизация процедур в строительстве и жилищно-коммунальном хозяйстве направлена как на решение конкретных отраслевых задач, так и на достижение показателей непосредственно "цифровой зрелости".</w:t>
      </w:r>
    </w:p>
    <w:p>
      <w:pPr>
        <w:pStyle w:val="0"/>
        <w:spacing w:before="200" w:lineRule="auto"/>
        <w:ind w:firstLine="540"/>
        <w:jc w:val="both"/>
      </w:pPr>
      <w:r>
        <w:rPr>
          <w:sz w:val="20"/>
        </w:rPr>
        <w:t xml:space="preserve">"Цифровая зрелость" отрасли строительства находится на недостаточном уровне, что обусловлено рядом объективных причин:</w:t>
      </w:r>
    </w:p>
    <w:p>
      <w:pPr>
        <w:pStyle w:val="0"/>
        <w:spacing w:before="200" w:lineRule="auto"/>
        <w:ind w:firstLine="540"/>
        <w:jc w:val="both"/>
      </w:pPr>
      <w:r>
        <w:rPr>
          <w:sz w:val="20"/>
        </w:rPr>
        <w:t xml:space="preserve">неоднородность уровня использования цифровых решений в регионах;</w:t>
      </w:r>
    </w:p>
    <w:p>
      <w:pPr>
        <w:pStyle w:val="0"/>
        <w:spacing w:before="200" w:lineRule="auto"/>
        <w:ind w:firstLine="540"/>
        <w:jc w:val="both"/>
      </w:pPr>
      <w:r>
        <w:rPr>
          <w:sz w:val="20"/>
        </w:rPr>
        <w:t xml:space="preserve">отсутствие возможности отслеживания применения сквозной технологии информационного моделирования в различных информационных системах.</w:t>
      </w:r>
    </w:p>
    <w:p>
      <w:pPr>
        <w:pStyle w:val="0"/>
        <w:spacing w:before="200" w:lineRule="auto"/>
        <w:ind w:firstLine="540"/>
        <w:jc w:val="both"/>
      </w:pPr>
      <w:r>
        <w:rPr>
          <w:sz w:val="20"/>
        </w:rPr>
        <w:t xml:space="preserve">Большая часть показателей для оценки "цифровой зрелости" связана с внедрением технологий информационного моделирования, при этом обязательность использования технологий информационного моделирования для объектов капитального строительства, финансирование которых осуществляется с привлечением средств бюджетов бюджетной системы Российской Федерации, закреплена на законодательном уровне лишь с 1 января 2022 г. При этом доля таких объектов составляет около 20 процентов отраслевого объема по Российской Федерации. Также одной из причин является низкая материально-техническая и кадровая готовность как на региональном уровне, так и по отраслям.</w:t>
      </w:r>
    </w:p>
    <w:p>
      <w:pPr>
        <w:pStyle w:val="0"/>
        <w:spacing w:before="200" w:lineRule="auto"/>
        <w:ind w:firstLine="540"/>
        <w:jc w:val="both"/>
      </w:pPr>
      <w:r>
        <w:rPr>
          <w:sz w:val="20"/>
        </w:rPr>
        <w:t xml:space="preserve">Расчет по базовым показателям "цифровой зрелости" развития городской среды достиг отметки в 60 процентов.</w:t>
      </w:r>
    </w:p>
    <w:p>
      <w:pPr>
        <w:pStyle w:val="0"/>
        <w:spacing w:before="200" w:lineRule="auto"/>
        <w:ind w:firstLine="540"/>
        <w:jc w:val="both"/>
      </w:pPr>
      <w:r>
        <w:rPr>
          <w:sz w:val="20"/>
        </w:rPr>
        <w:t xml:space="preserve">Вызовами являются:</w:t>
      </w:r>
    </w:p>
    <w:p>
      <w:pPr>
        <w:pStyle w:val="0"/>
        <w:spacing w:before="200" w:lineRule="auto"/>
        <w:ind w:firstLine="540"/>
        <w:jc w:val="both"/>
      </w:pPr>
      <w:r>
        <w:rPr>
          <w:sz w:val="20"/>
        </w:rPr>
        <w:t xml:space="preserve">несоответствие уровня отраслевых цифровых систем поддержки управленческих решений современным запросам по эффективному планированию, проектированию, эксплуатации и текущему управлению объектов капитального строительства, городского и жилищно-коммунального хозяйства для достижения национальных целей и стратегических задач;</w:t>
      </w:r>
    </w:p>
    <w:p>
      <w:pPr>
        <w:pStyle w:val="0"/>
        <w:spacing w:before="200" w:lineRule="auto"/>
        <w:ind w:firstLine="540"/>
        <w:jc w:val="both"/>
      </w:pPr>
      <w:r>
        <w:rPr>
          <w:sz w:val="20"/>
        </w:rPr>
        <w:t xml:space="preserve">"цифровое неравенство" субъектов Российской Федерации в сфере строительства и жилищно-коммунального хозяйства;</w:t>
      </w:r>
    </w:p>
    <w:p>
      <w:pPr>
        <w:pStyle w:val="0"/>
        <w:spacing w:before="200" w:lineRule="auto"/>
        <w:ind w:firstLine="540"/>
        <w:jc w:val="both"/>
      </w:pPr>
      <w:r>
        <w:rPr>
          <w:sz w:val="20"/>
        </w:rPr>
        <w:t xml:space="preserve">низкий уровень цифровизации участников градостроительной деятельности - 95 процентов взаимодействий между участниками на всех этапах жизненного цикла объектов капитального строительства происходит на бумаге либо в электронном нередактируемом формате;</w:t>
      </w:r>
    </w:p>
    <w:p>
      <w:pPr>
        <w:pStyle w:val="0"/>
        <w:spacing w:before="200" w:lineRule="auto"/>
        <w:ind w:firstLine="540"/>
        <w:jc w:val="both"/>
      </w:pPr>
      <w:r>
        <w:rPr>
          <w:sz w:val="20"/>
        </w:rPr>
        <w:t xml:space="preserve">низкий уровень цифровизации поставщиков коммунальных услуг и организаций, оказывающих жилищно-коммунальные услуги;</w:t>
      </w:r>
    </w:p>
    <w:p>
      <w:pPr>
        <w:pStyle w:val="0"/>
        <w:spacing w:before="200" w:lineRule="auto"/>
        <w:ind w:firstLine="540"/>
        <w:jc w:val="both"/>
      </w:pPr>
      <w:r>
        <w:rPr>
          <w:sz w:val="20"/>
        </w:rPr>
        <w:t xml:space="preserve">несформированность ресурсной базы для перехода к интенсивным и основанным на цифровых технологиях методам реализации государственной политики и обеспечения безбарьерной цифровой среды для взаимодействия участников, в том числе несформированность системы подготовки кадров для цифровой трансформации отрасли;</w:t>
      </w:r>
    </w:p>
    <w:p>
      <w:pPr>
        <w:pStyle w:val="0"/>
        <w:spacing w:before="200" w:lineRule="auto"/>
        <w:ind w:firstLine="540"/>
        <w:jc w:val="both"/>
      </w:pPr>
      <w:r>
        <w:rPr>
          <w:sz w:val="20"/>
        </w:rPr>
        <w:t xml:space="preserve">зависимость информационно-коммуникационной инфраструктуры отраслей строительства и жилищно-коммунального хозяйства от иностранного программного обеспечения;</w:t>
      </w:r>
    </w:p>
    <w:p>
      <w:pPr>
        <w:pStyle w:val="0"/>
        <w:spacing w:before="200" w:lineRule="auto"/>
        <w:ind w:firstLine="540"/>
        <w:jc w:val="both"/>
      </w:pPr>
      <w:r>
        <w:rPr>
          <w:sz w:val="20"/>
        </w:rPr>
        <w:t xml:space="preserve">низкий уровень охвата технологий информационного моделирования в регионах Российской Федерации, отсутствие обязательных требований применения технологий информационного моделирования на объектах капитального строительства, финансирование которых осуществляется за счет привлеченных инвестиций;</w:t>
      </w:r>
    </w:p>
    <w:p>
      <w:pPr>
        <w:pStyle w:val="0"/>
        <w:spacing w:before="200" w:lineRule="auto"/>
        <w:ind w:firstLine="540"/>
        <w:jc w:val="both"/>
      </w:pPr>
      <w:r>
        <w:rPr>
          <w:sz w:val="20"/>
        </w:rPr>
        <w:t xml:space="preserve">низкий уровень "цифровой зрелости" отрасли строительства;</w:t>
      </w:r>
    </w:p>
    <w:p>
      <w:pPr>
        <w:pStyle w:val="0"/>
        <w:spacing w:before="200" w:lineRule="auto"/>
        <w:ind w:firstLine="540"/>
        <w:jc w:val="both"/>
      </w:pPr>
      <w:r>
        <w:rPr>
          <w:sz w:val="20"/>
        </w:rPr>
        <w:t xml:space="preserve">отсутствие инструментов мониторинга появления нелегальных свалок и площадок переработки отходов строительства и сноса.</w:t>
      </w:r>
    </w:p>
    <w:p>
      <w:pPr>
        <w:pStyle w:val="0"/>
        <w:spacing w:before="200" w:lineRule="auto"/>
        <w:ind w:firstLine="540"/>
        <w:jc w:val="both"/>
      </w:pPr>
      <w:r>
        <w:rPr>
          <w:sz w:val="20"/>
        </w:rPr>
        <w:t xml:space="preserve">Задачами являются:</w:t>
      </w:r>
    </w:p>
    <w:p>
      <w:pPr>
        <w:pStyle w:val="0"/>
        <w:spacing w:before="200" w:lineRule="auto"/>
        <w:ind w:firstLine="540"/>
        <w:jc w:val="both"/>
      </w:pPr>
      <w:r>
        <w:rPr>
          <w:sz w:val="20"/>
        </w:rPr>
        <w:t xml:space="preserve">цифровая трансформация процессов и услуг, административных процедур в сфере строительства и жилищно-коммунального хозяйства, внедрение информационных технологий на всех этапах жизненного цикла объекта капитального строительства;</w:t>
      </w:r>
    </w:p>
    <w:p>
      <w:pPr>
        <w:pStyle w:val="0"/>
        <w:spacing w:before="200" w:lineRule="auto"/>
        <w:ind w:firstLine="540"/>
        <w:jc w:val="both"/>
      </w:pPr>
      <w:r>
        <w:rPr>
          <w:sz w:val="20"/>
        </w:rPr>
        <w:t xml:space="preserve">консолидация информации о градостроительной деятельности на всей территории Российской Федерации, обеспечивающая поддержку принятия управленческих решений и широкий доступ для участников отрасли с целью минимизации транзакционных издержек взаимодействия;</w:t>
      </w:r>
    </w:p>
    <w:p>
      <w:pPr>
        <w:pStyle w:val="0"/>
        <w:spacing w:before="200" w:lineRule="auto"/>
        <w:ind w:firstLine="540"/>
        <w:jc w:val="both"/>
      </w:pPr>
      <w:r>
        <w:rPr>
          <w:sz w:val="20"/>
        </w:rPr>
        <w:t xml:space="preserve">создание прикладного инструментария для реализации всех мероприятий, предусмотренных административной и профессиональной трансформацией;</w:t>
      </w:r>
    </w:p>
    <w:p>
      <w:pPr>
        <w:pStyle w:val="0"/>
        <w:spacing w:before="200" w:lineRule="auto"/>
        <w:ind w:firstLine="540"/>
        <w:jc w:val="both"/>
      </w:pPr>
      <w:r>
        <w:rPr>
          <w:sz w:val="20"/>
        </w:rPr>
        <w:t xml:space="preserve">развитие клиентоцентричности цифровых инструментов системы управления жилищно-коммунальным хозяйством;</w:t>
      </w:r>
    </w:p>
    <w:p>
      <w:pPr>
        <w:pStyle w:val="0"/>
        <w:spacing w:before="200" w:lineRule="auto"/>
        <w:ind w:firstLine="540"/>
        <w:jc w:val="both"/>
      </w:pPr>
      <w:r>
        <w:rPr>
          <w:sz w:val="20"/>
        </w:rPr>
        <w:t xml:space="preserve">повышение эффективности организаций жилищно-коммунального хозяйства путем внедрения автоматизированных систем управления их деятельностью;</w:t>
      </w:r>
    </w:p>
    <w:p>
      <w:pPr>
        <w:pStyle w:val="0"/>
        <w:spacing w:before="200" w:lineRule="auto"/>
        <w:ind w:firstLine="540"/>
        <w:jc w:val="both"/>
      </w:pPr>
      <w:r>
        <w:rPr>
          <w:sz w:val="20"/>
        </w:rPr>
        <w:t xml:space="preserve">обеспечение внедрения конкурентоспособного российского программного обеспечения при реализации мероприятий по цифровизации строительной отрасли и отрасли жилищно-коммунального хозяйства;</w:t>
      </w:r>
    </w:p>
    <w:p>
      <w:pPr>
        <w:pStyle w:val="0"/>
        <w:spacing w:before="200" w:lineRule="auto"/>
        <w:ind w:firstLine="540"/>
        <w:jc w:val="both"/>
      </w:pPr>
      <w:r>
        <w:rPr>
          <w:sz w:val="20"/>
        </w:rPr>
        <w:t xml:space="preserve">обеспечение формирования методологической, нормативной правовой базы для обеспечения надлежащего уровня "цифровой зрелости" и перевод нормативно-технической документации в машиночитаемый формат;</w:t>
      </w:r>
    </w:p>
    <w:p>
      <w:pPr>
        <w:pStyle w:val="0"/>
        <w:spacing w:before="200" w:lineRule="auto"/>
        <w:ind w:firstLine="540"/>
        <w:jc w:val="both"/>
      </w:pPr>
      <w:r>
        <w:rPr>
          <w:sz w:val="20"/>
        </w:rPr>
        <w:t xml:space="preserve">обеспечение мониторинга объемов твердых коммунальных отходов и отходов строительства и сноса, направляемых на захоронение, за счет внедрения информационных систем контроля и учета;</w:t>
      </w:r>
    </w:p>
    <w:p>
      <w:pPr>
        <w:pStyle w:val="0"/>
        <w:spacing w:before="200" w:lineRule="auto"/>
        <w:ind w:firstLine="540"/>
        <w:jc w:val="both"/>
      </w:pPr>
      <w:r>
        <w:rPr>
          <w:sz w:val="20"/>
        </w:rPr>
        <w:t xml:space="preserve">сокращение логистических издержек при транспортировке отходов строительства и сноса к местам утилизации и (или) переработки за счет разработанного программного обеспечения для внедрения систем мониторинга обращения с отходами строительства и сноса на всех этапах цикла строительства.</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унификация и перевод в электронный вид мероприятий (услуг) в сфере строительства с интеграцией с федеральным и региональными порталами государственных услуг, развитие суперсервиса "Цифровое строительство", обеспечивающего "бесшовное" оказание услуг в сфере строительства;</w:t>
      </w:r>
    </w:p>
    <w:p>
      <w:pPr>
        <w:pStyle w:val="0"/>
        <w:spacing w:before="200" w:lineRule="auto"/>
        <w:ind w:firstLine="540"/>
        <w:jc w:val="both"/>
      </w:pPr>
      <w:r>
        <w:rPr>
          <w:sz w:val="20"/>
        </w:rPr>
        <w:t xml:space="preserve">создание условий для взаимодействия всех участников инвестиционно-строительных процессов на базе единой цифровой среды, внедрение систем искусственного интеллекта в целях повышения эффективности работы отрасли;</w:t>
      </w:r>
    </w:p>
    <w:p>
      <w:pPr>
        <w:pStyle w:val="0"/>
        <w:spacing w:before="200" w:lineRule="auto"/>
        <w:ind w:firstLine="540"/>
        <w:jc w:val="both"/>
      </w:pPr>
      <w:r>
        <w:rPr>
          <w:sz w:val="20"/>
        </w:rPr>
        <w:t xml:space="preserve">переход на использование сквозной технологии информационного моделирования для всего жизненного цикла объекта капитального строительства, внедрение и развитие системы управления жизненным циклом объекта капитального строительства на основе технологий информационного моделирования (государственная информационная система обеспечения градостроительной деятельности Российской Федерации);</w:t>
      </w:r>
    </w:p>
    <w:p>
      <w:pPr>
        <w:pStyle w:val="0"/>
        <w:spacing w:before="200" w:lineRule="auto"/>
        <w:ind w:firstLine="540"/>
        <w:jc w:val="both"/>
      </w:pPr>
      <w:r>
        <w:rPr>
          <w:sz w:val="20"/>
        </w:rPr>
        <w:t xml:space="preserve">формирование вертикали управления цифровой трансформацией отрасли, разработка механизмов повышения "цифровой зрелости" отрасли строительства, "цифровой зрелости" развития городской среды;</w:t>
      </w:r>
    </w:p>
    <w:p>
      <w:pPr>
        <w:pStyle w:val="0"/>
        <w:spacing w:before="200" w:lineRule="auto"/>
        <w:ind w:firstLine="540"/>
        <w:jc w:val="both"/>
      </w:pPr>
      <w:r>
        <w:rPr>
          <w:sz w:val="20"/>
        </w:rPr>
        <w:t xml:space="preserve">развитие и модернизация государственной информационной системы жилищно-коммунального хозяйства, разработка механизмов повышения цифровизации организаций жилищно-коммунального хозяйства;</w:t>
      </w:r>
    </w:p>
    <w:p>
      <w:pPr>
        <w:pStyle w:val="0"/>
        <w:spacing w:before="200" w:lineRule="auto"/>
        <w:ind w:firstLine="540"/>
        <w:jc w:val="both"/>
      </w:pPr>
      <w:r>
        <w:rPr>
          <w:sz w:val="20"/>
        </w:rPr>
        <w:t xml:space="preserve">повышение эффективности функционирования единой информационной системы жилищного строительства за счет внедрения технологий искусственного интеллекта;</w:t>
      </w:r>
    </w:p>
    <w:p>
      <w:pPr>
        <w:pStyle w:val="0"/>
        <w:spacing w:before="200" w:lineRule="auto"/>
        <w:ind w:firstLine="540"/>
        <w:jc w:val="both"/>
      </w:pPr>
      <w:r>
        <w:rPr>
          <w:sz w:val="20"/>
        </w:rPr>
        <w:t xml:space="preserve">развитие, поддержка и внедрение отечественного программного обеспечения на всех этапах жизненного цикла объекта капитального строительства;</w:t>
      </w:r>
    </w:p>
    <w:p>
      <w:pPr>
        <w:pStyle w:val="0"/>
        <w:spacing w:before="200" w:lineRule="auto"/>
        <w:ind w:firstLine="540"/>
        <w:jc w:val="both"/>
      </w:pPr>
      <w:r>
        <w:rPr>
          <w:sz w:val="20"/>
        </w:rPr>
        <w:t xml:space="preserve">корректировка существующей нормативной правовой базы в рамках применения технологий информационного моделирования;</w:t>
      </w:r>
    </w:p>
    <w:p>
      <w:pPr>
        <w:pStyle w:val="0"/>
        <w:spacing w:before="200" w:lineRule="auto"/>
        <w:ind w:firstLine="540"/>
        <w:jc w:val="both"/>
      </w:pPr>
      <w:r>
        <w:rPr>
          <w:sz w:val="20"/>
        </w:rPr>
        <w:t xml:space="preserve">разработка программного обеспечения для внедрения региональных систем мониторинга обращения с отходами строительства и сноса, поэтапное внедрение программного обеспечения во всех субъектах Российской Федерации.</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создана единая цифровая система управления строительной отраслью и жилищно-коммунальным хозяйством;</w:t>
      </w:r>
    </w:p>
    <w:p>
      <w:pPr>
        <w:pStyle w:val="0"/>
        <w:spacing w:before="200" w:lineRule="auto"/>
        <w:ind w:firstLine="540"/>
        <w:jc w:val="both"/>
      </w:pPr>
      <w:r>
        <w:rPr>
          <w:sz w:val="20"/>
        </w:rPr>
        <w:t xml:space="preserve">переведены в электронный вид все процедуры в рамках взаимодействия участников инвестиционно-строительного цикла на всем его протяжении;</w:t>
      </w:r>
    </w:p>
    <w:p>
      <w:pPr>
        <w:pStyle w:val="0"/>
        <w:spacing w:before="200" w:lineRule="auto"/>
        <w:ind w:firstLine="540"/>
        <w:jc w:val="both"/>
      </w:pPr>
      <w:r>
        <w:rPr>
          <w:sz w:val="20"/>
        </w:rPr>
        <w:t xml:space="preserve">завершено формирование государственных информационных систем обеспечения градостроительной деятельности;</w:t>
      </w:r>
    </w:p>
    <w:p>
      <w:pPr>
        <w:pStyle w:val="0"/>
        <w:spacing w:before="200" w:lineRule="auto"/>
        <w:ind w:firstLine="540"/>
        <w:jc w:val="both"/>
      </w:pPr>
      <w:r>
        <w:rPr>
          <w:sz w:val="20"/>
        </w:rPr>
        <w:t xml:space="preserve">в отношении не менее чем 30 процентов объектов, организация строительства которых осуществлена с использованием технологий информационного моделирования, получены разрешения на строительство и осуществлена постановка на государственный кадастровый учет;</w:t>
      </w:r>
    </w:p>
    <w:p>
      <w:pPr>
        <w:pStyle w:val="0"/>
        <w:spacing w:before="200" w:lineRule="auto"/>
        <w:ind w:firstLine="540"/>
        <w:jc w:val="both"/>
      </w:pPr>
      <w:r>
        <w:rPr>
          <w:sz w:val="20"/>
        </w:rPr>
        <w:t xml:space="preserve">осуществлена доработка государственной информационной системы обеспечения градостроительной деятельности Российской Федерации, проведено обучение государственных заказчиков, разработаны информационные системы управления проектами государственных заказчиков;</w:t>
      </w:r>
    </w:p>
    <w:p>
      <w:pPr>
        <w:pStyle w:val="0"/>
        <w:spacing w:before="200" w:lineRule="auto"/>
        <w:ind w:firstLine="540"/>
        <w:jc w:val="both"/>
      </w:pPr>
      <w:r>
        <w:rPr>
          <w:sz w:val="20"/>
        </w:rPr>
        <w:t xml:space="preserve">проведено импортозамещение за счет внедрения в строительной отрасли и жилищно-коммунальном хозяйстве российского программного обеспечения;</w:t>
      </w:r>
    </w:p>
    <w:p>
      <w:pPr>
        <w:pStyle w:val="0"/>
        <w:spacing w:before="200" w:lineRule="auto"/>
        <w:ind w:firstLine="540"/>
        <w:jc w:val="both"/>
      </w:pPr>
      <w:r>
        <w:rPr>
          <w:sz w:val="20"/>
        </w:rPr>
        <w:t xml:space="preserve">в единой информационной системе жилищного строительства внедрены алгоритмы искусственного интеллекта и нейронные сети, позволяющие осуществлять оценку и принимать решения относительно выбора застройщика на базе подаваемой финансовой отчетности;</w:t>
      </w:r>
    </w:p>
    <w:p>
      <w:pPr>
        <w:pStyle w:val="0"/>
        <w:spacing w:before="200" w:lineRule="auto"/>
        <w:ind w:firstLine="540"/>
        <w:jc w:val="both"/>
      </w:pPr>
      <w:r>
        <w:rPr>
          <w:sz w:val="20"/>
        </w:rPr>
        <w:t xml:space="preserve">созданы "цифровые двойники" объектов капитального строительства, используемые на всех этапах жизненного цикла таких объектов;</w:t>
      </w:r>
    </w:p>
    <w:p>
      <w:pPr>
        <w:pStyle w:val="0"/>
        <w:spacing w:before="200" w:lineRule="auto"/>
        <w:ind w:firstLine="540"/>
        <w:jc w:val="both"/>
      </w:pPr>
      <w:r>
        <w:rPr>
          <w:sz w:val="20"/>
        </w:rPr>
        <w:t xml:space="preserve">50 процентов многоквартирных домов оснащены интеллектуальными системами общедомового учета ресурсов;</w:t>
      </w:r>
    </w:p>
    <w:p>
      <w:pPr>
        <w:pStyle w:val="0"/>
        <w:spacing w:before="200" w:lineRule="auto"/>
        <w:ind w:firstLine="540"/>
        <w:jc w:val="both"/>
      </w:pPr>
      <w:r>
        <w:rPr>
          <w:sz w:val="20"/>
        </w:rPr>
        <w:t xml:space="preserve">100 процентов диспетчерских служб муниципальных районов и городских округов подключены к системам мониторинга инцидентов и аварий на объектах жилищно-коммунального хозяйства;</w:t>
      </w:r>
    </w:p>
    <w:p>
      <w:pPr>
        <w:pStyle w:val="0"/>
        <w:spacing w:before="200" w:lineRule="auto"/>
        <w:ind w:firstLine="540"/>
        <w:jc w:val="both"/>
      </w:pPr>
      <w:r>
        <w:rPr>
          <w:sz w:val="20"/>
        </w:rPr>
        <w:t xml:space="preserve">80 процентов общих собраний собственников помещений в многоквартирных домах проводятся посредством электронного голосования;</w:t>
      </w:r>
    </w:p>
    <w:p>
      <w:pPr>
        <w:pStyle w:val="0"/>
        <w:spacing w:before="200" w:lineRule="auto"/>
        <w:ind w:firstLine="540"/>
        <w:jc w:val="both"/>
      </w:pPr>
      <w:r>
        <w:rPr>
          <w:sz w:val="20"/>
        </w:rPr>
        <w:t xml:space="preserve">внедрены разработанные информационно-телекоммуникационные сервисы в сфере обращения с отходами строительства и сноса;</w:t>
      </w:r>
    </w:p>
    <w:p>
      <w:pPr>
        <w:pStyle w:val="0"/>
        <w:spacing w:before="200" w:lineRule="auto"/>
        <w:ind w:firstLine="540"/>
        <w:jc w:val="both"/>
      </w:pPr>
      <w:r>
        <w:rPr>
          <w:sz w:val="20"/>
        </w:rPr>
        <w:t xml:space="preserve">внедрены технологии информационного моделирования не только на объектах капитального строительства, финансирование которых осуществляется с привлечением средств бюджетов бюджетной системы Российской Федерации, но и на объектах капитального строительства, реализуемых за счет привлеченных инвестиций;</w:t>
      </w:r>
    </w:p>
    <w:p>
      <w:pPr>
        <w:pStyle w:val="0"/>
        <w:spacing w:before="200" w:lineRule="auto"/>
        <w:ind w:firstLine="540"/>
        <w:jc w:val="both"/>
      </w:pPr>
      <w:r>
        <w:rPr>
          <w:sz w:val="20"/>
        </w:rPr>
        <w:t xml:space="preserve">выведены на единый портал государственных и муниципальных услуг и региональные порталы государственных и муниципальных услуг все государственные услуги (сервисы) и функции в отрасли строительства и сфере жилищно-коммунального хозяйства.</w:t>
      </w:r>
    </w:p>
    <w:p>
      <w:pPr>
        <w:pStyle w:val="0"/>
        <w:jc w:val="both"/>
      </w:pPr>
      <w:r>
        <w:rPr>
          <w:sz w:val="20"/>
        </w:rPr>
      </w:r>
    </w:p>
    <w:p>
      <w:pPr>
        <w:pStyle w:val="2"/>
        <w:outlineLvl w:val="1"/>
        <w:jc w:val="center"/>
      </w:pPr>
      <w:r>
        <w:rPr>
          <w:sz w:val="20"/>
        </w:rPr>
        <w:t xml:space="preserve">XI. Взаимодействие со смежными отраслями</w:t>
      </w:r>
    </w:p>
    <w:p>
      <w:pPr>
        <w:pStyle w:val="0"/>
        <w:jc w:val="both"/>
      </w:pPr>
      <w:r>
        <w:rPr>
          <w:sz w:val="20"/>
        </w:rPr>
      </w:r>
    </w:p>
    <w:p>
      <w:pPr>
        <w:pStyle w:val="0"/>
        <w:ind w:firstLine="540"/>
        <w:jc w:val="both"/>
      </w:pPr>
      <w:r>
        <w:rPr>
          <w:sz w:val="20"/>
        </w:rPr>
        <w:t xml:space="preserve">Развитие отраслей строительства и жилищно-коммунального хозяйства во многом определяется развитием ряда обеспечивающих отраслей и в то же время оказывает значительное влияние на все сферы экономики. В связи с этим Стратегия взаимоувязана со стратегическими документами смежных отраслей экономики - энергетики, транспорта, промышленности и других.</w:t>
      </w:r>
    </w:p>
    <w:p>
      <w:pPr>
        <w:pStyle w:val="0"/>
        <w:jc w:val="both"/>
      </w:pPr>
      <w:r>
        <w:rPr>
          <w:sz w:val="20"/>
        </w:rPr>
      </w:r>
    </w:p>
    <w:p>
      <w:pPr>
        <w:pStyle w:val="2"/>
        <w:outlineLvl w:val="2"/>
        <w:jc w:val="center"/>
      </w:pPr>
      <w:r>
        <w:rPr>
          <w:sz w:val="20"/>
        </w:rPr>
        <w:t xml:space="preserve">Энергетика</w:t>
      </w:r>
    </w:p>
    <w:p>
      <w:pPr>
        <w:pStyle w:val="0"/>
        <w:jc w:val="both"/>
      </w:pPr>
      <w:r>
        <w:rPr>
          <w:sz w:val="20"/>
        </w:rPr>
      </w:r>
    </w:p>
    <w:p>
      <w:pPr>
        <w:pStyle w:val="0"/>
        <w:ind w:firstLine="540"/>
        <w:jc w:val="both"/>
      </w:pPr>
      <w:r>
        <w:rPr>
          <w:sz w:val="20"/>
        </w:rPr>
        <w:t xml:space="preserve">Задачи развития строительной отрасли и жилищно-коммунального хозяйства требуют синхронизации с развитием энергетической отрасли. Процесс строительства требует обеспечения энергоресурсами, соответственно, спрос на них увеличится при увеличении объемов строительства, что требует своевременного наращивания мощностей в районах застройки. Энергетической стратегией в качестве приоритетной задачи предусмотрено первоочередное обеспечение энерго-, газо- и электроснабжением земельных участков, вовлекаемых в оборот для жилищного строительства.</w:t>
      </w:r>
    </w:p>
    <w:p>
      <w:pPr>
        <w:pStyle w:val="0"/>
        <w:spacing w:before="200" w:lineRule="auto"/>
        <w:ind w:firstLine="540"/>
        <w:jc w:val="both"/>
      </w:pPr>
      <w:r>
        <w:rPr>
          <w:sz w:val="20"/>
        </w:rPr>
        <w:t xml:space="preserve">Мероприятия Стратегии в части перехода на более экологичные виды топлива и повышения энергоэффективности жилья также согласуются с Энергетической </w:t>
      </w:r>
      <w:r>
        <w:rPr>
          <w:sz w:val="20"/>
        </w:rPr>
        <w:t xml:space="preserve">стратегией</w:t>
      </w:r>
      <w:r>
        <w:rPr>
          <w:sz w:val="20"/>
        </w:rPr>
        <w:t xml:space="preserve">, ключевыми задачами которой являются развитие энергосбережения и повышение энергетической эффективности в отраслях топливно-энергетического комплекса, а также повышение уровня газификации регионов Российской Федерации и доведение его до 82,9 процента к 2035 году.</w:t>
      </w:r>
    </w:p>
    <w:p>
      <w:pPr>
        <w:pStyle w:val="0"/>
        <w:spacing w:before="200" w:lineRule="auto"/>
        <w:ind w:firstLine="540"/>
        <w:jc w:val="both"/>
      </w:pPr>
      <w:r>
        <w:rPr>
          <w:sz w:val="20"/>
        </w:rPr>
        <w:t xml:space="preserve">В свою очередь, реализация мероприятий Стратегии, направленных на оптимизацию, административную трансформацию и цифровизацию процедур создания объектов капитального строительства, позволит ускорить строительство объектов энергетической инфраструктуры благодаря ускорению инвестиционно-строительного цикла.</w:t>
      </w:r>
    </w:p>
    <w:p>
      <w:pPr>
        <w:pStyle w:val="0"/>
        <w:jc w:val="both"/>
      </w:pPr>
      <w:r>
        <w:rPr>
          <w:sz w:val="20"/>
        </w:rPr>
      </w:r>
    </w:p>
    <w:p>
      <w:pPr>
        <w:pStyle w:val="2"/>
        <w:outlineLvl w:val="2"/>
        <w:jc w:val="center"/>
      </w:pPr>
      <w:r>
        <w:rPr>
          <w:sz w:val="20"/>
        </w:rPr>
        <w:t xml:space="preserve">Информационные технологии и связь</w:t>
      </w:r>
    </w:p>
    <w:p>
      <w:pPr>
        <w:pStyle w:val="0"/>
        <w:jc w:val="both"/>
      </w:pPr>
      <w:r>
        <w:rPr>
          <w:sz w:val="20"/>
        </w:rPr>
      </w:r>
    </w:p>
    <w:p>
      <w:pPr>
        <w:pStyle w:val="0"/>
        <w:ind w:firstLine="540"/>
        <w:jc w:val="both"/>
      </w:pPr>
      <w:r>
        <w:rPr>
          <w:sz w:val="20"/>
        </w:rPr>
        <w:t xml:space="preserve">Задачи сокращения инвестиционно-строительного цикла, цифровой трансформации отраслей строительства и жилищно-коммунального хозяйства должны быть обеспечены соответствующим уровнем развития информационных технологий, связи, информационной безопасности. Масштабная цифровая трансформация также требует принятия мер, направленных на стимулирование создания новых и развитие существующих производств отечественного телекоммуникационного оборудования, формирует потребность в кадрах и развитии IT-индустрии в целом.</w:t>
      </w:r>
    </w:p>
    <w:p>
      <w:pPr>
        <w:pStyle w:val="0"/>
        <w:jc w:val="both"/>
      </w:pPr>
      <w:r>
        <w:rPr>
          <w:sz w:val="20"/>
        </w:rPr>
      </w:r>
    </w:p>
    <w:p>
      <w:pPr>
        <w:pStyle w:val="2"/>
        <w:outlineLvl w:val="2"/>
        <w:jc w:val="center"/>
      </w:pPr>
      <w:r>
        <w:rPr>
          <w:sz w:val="20"/>
        </w:rPr>
        <w:t xml:space="preserve">Сельское хозяйство</w:t>
      </w:r>
    </w:p>
    <w:p>
      <w:pPr>
        <w:pStyle w:val="0"/>
        <w:jc w:val="both"/>
      </w:pPr>
      <w:r>
        <w:rPr>
          <w:sz w:val="20"/>
        </w:rPr>
      </w:r>
    </w:p>
    <w:p>
      <w:pPr>
        <w:pStyle w:val="0"/>
        <w:ind w:firstLine="540"/>
        <w:jc w:val="both"/>
      </w:pPr>
      <w:r>
        <w:rPr>
          <w:sz w:val="20"/>
        </w:rPr>
        <w:t xml:space="preserve">Развитие сельского хозяйства и сельских территорий является одним из приоритетных направлений государственной социально-экономической политики. Значительный вклад в это развитие вносит строительная отрасль. Поддержка индивидуального жилищного строительства, инфраструктурное обеспечение территорий застройки и формирование комфортной среды, реализуемые в рамках Стратегии, позволят повысить интенсивность освоения сельских территорий.</w:t>
      </w:r>
    </w:p>
    <w:p>
      <w:pPr>
        <w:pStyle w:val="0"/>
        <w:spacing w:before="200" w:lineRule="auto"/>
        <w:ind w:firstLine="540"/>
        <w:jc w:val="both"/>
      </w:pPr>
      <w:r>
        <w:rPr>
          <w:sz w:val="20"/>
        </w:rPr>
        <w:t xml:space="preserve">Дополнительно приобретение или строительство жилья в сельской местности стимулируется реализацией уже действующих ипотечных программ ("Сельская ипотека"), а также расширением ипотечного кредитования на индивидуальное жилищное строительство.</w:t>
      </w:r>
    </w:p>
    <w:p>
      <w:pPr>
        <w:pStyle w:val="0"/>
        <w:spacing w:before="200" w:lineRule="auto"/>
        <w:ind w:firstLine="540"/>
        <w:jc w:val="both"/>
      </w:pPr>
      <w:r>
        <w:rPr>
          <w:sz w:val="20"/>
        </w:rPr>
        <w:t xml:space="preserve">Вместе с тем важно одновременно решать задачи развития агропромышленного комплекса, создания новых рабочих мест для жителей сельских территорий. Повышению привлекательности инвестиционных проектов агропромышленного комплекса способствуют в том числе меры по сокращению инвестиционно-строительного цикла, повышению эффективности строительства.</w:t>
      </w:r>
    </w:p>
    <w:p>
      <w:pPr>
        <w:pStyle w:val="0"/>
        <w:jc w:val="both"/>
      </w:pPr>
      <w:r>
        <w:rPr>
          <w:sz w:val="20"/>
        </w:rPr>
      </w:r>
    </w:p>
    <w:bookmarkStart w:id="1297" w:name="P1297"/>
    <w:bookmarkEnd w:id="1297"/>
    <w:p>
      <w:pPr>
        <w:pStyle w:val="2"/>
        <w:outlineLvl w:val="1"/>
        <w:jc w:val="center"/>
      </w:pPr>
      <w:r>
        <w:rPr>
          <w:sz w:val="20"/>
        </w:rPr>
        <w:t xml:space="preserve">XII. Ресурсное обеспечение реализации Стратегии</w:t>
      </w:r>
    </w:p>
    <w:p>
      <w:pPr>
        <w:pStyle w:val="0"/>
        <w:jc w:val="both"/>
      </w:pPr>
      <w:r>
        <w:rPr>
          <w:sz w:val="20"/>
        </w:rPr>
      </w:r>
    </w:p>
    <w:p>
      <w:pPr>
        <w:pStyle w:val="0"/>
        <w:ind w:firstLine="540"/>
        <w:jc w:val="both"/>
      </w:pPr>
      <w:r>
        <w:rPr>
          <w:sz w:val="20"/>
        </w:rPr>
        <w:t xml:space="preserve">Реализация Стратегии осуществляется за счет средств всех уровней бюджетной системы Российской Федерации, за счет финансовых мер государственной поддержки в рамках комплекса инструментов, предусмотренных федеральным проектом "Инфраструктурное меню", а также средств внебюджетных источников (тариф, плата за подключение (технологическое присоединение) к сетям инженерно-технического обеспечения), в том числе с использованием механизма государственно-частного партнерства.</w:t>
      </w:r>
    </w:p>
    <w:p>
      <w:pPr>
        <w:pStyle w:val="0"/>
        <w:spacing w:before="200" w:lineRule="auto"/>
        <w:ind w:firstLine="540"/>
        <w:jc w:val="both"/>
      </w:pPr>
      <w:r>
        <w:rPr>
          <w:sz w:val="20"/>
        </w:rPr>
        <w:t xml:space="preserve">Размер средств консолидированного бюджета, необходимый для реализации Стратегии, ежегодно определяется и корректируется в рамках бюджетного процесса. Основными прямыми механизмами реализации Стратегии являются соответствующие мероприятия, реализуемые в рамках национальных проектов, федеральных проектов, государственных программ и непрограммных мероприятий, с учетом их финансового обеспечения на период реализации Стратегии.</w:t>
      </w:r>
    </w:p>
    <w:p>
      <w:pPr>
        <w:pStyle w:val="0"/>
        <w:spacing w:before="200" w:lineRule="auto"/>
        <w:ind w:firstLine="540"/>
        <w:jc w:val="both"/>
      </w:pPr>
      <w:r>
        <w:rPr>
          <w:sz w:val="20"/>
        </w:rPr>
        <w:t xml:space="preserve">Для обеспечения строительства в 2021 - 2030 годах 1 млрд. кв. метров жилья необходимы более 75 трлн. рублей частных инвестиций и значительный объем инвестиций в создание инфраструктуры для жилищного строительства. С учетом того, что не менее 50 процентов жилья приобретается в ипотеку, значительную часть этих средств обеспечит ипотечное кредитование.</w:t>
      </w:r>
    </w:p>
    <w:p>
      <w:pPr>
        <w:pStyle w:val="0"/>
        <w:spacing w:before="200" w:lineRule="auto"/>
        <w:ind w:firstLine="540"/>
        <w:jc w:val="both"/>
      </w:pPr>
      <w:r>
        <w:rPr>
          <w:sz w:val="20"/>
        </w:rPr>
        <w:t xml:space="preserve">В настоящее время действует 4 программы льготной ипотеки - "Льготная ипотека на новостройки", "Семейная ипотека", "Дальневосточная и арктическая ипотека" и "Льготная ипотека для IT-специалистов". Общие расходы бюджета на реализацию этих программ зависят от динамики ключевой ставки.</w:t>
      </w:r>
    </w:p>
    <w:p>
      <w:pPr>
        <w:pStyle w:val="0"/>
        <w:jc w:val="both"/>
      </w:pPr>
      <w:r>
        <w:rPr>
          <w:sz w:val="20"/>
        </w:rPr>
        <w:t xml:space="preserve">(в ред. </w:t>
      </w:r>
      <w:r>
        <w:rPr>
          <w:sz w:val="20"/>
        </w:rPr>
        <w:t xml:space="preserve">Постановления</w:t>
      </w:r>
      <w:r>
        <w:rPr>
          <w:sz w:val="20"/>
        </w:rPr>
        <w:t xml:space="preserve"> Правительства РФ от 29.11.2023 N 2023)</w:t>
      </w:r>
    </w:p>
    <w:p>
      <w:pPr>
        <w:pStyle w:val="0"/>
        <w:spacing w:before="200" w:lineRule="auto"/>
        <w:ind w:firstLine="540"/>
        <w:jc w:val="both"/>
      </w:pPr>
      <w:r>
        <w:rPr>
          <w:sz w:val="20"/>
        </w:rPr>
        <w:t xml:space="preserve">Также граждане, у которых в период 2019 - 2023 годов родился третий или последующий ребенок, имеют право на получение выплаты в размере до 450 тыс. рублей на цели погашения ипотечных кредитов (займов), кредитный договор (договор займа) о предоставлении которых заключен до 1 июля 2024 г.</w:t>
      </w:r>
    </w:p>
    <w:p>
      <w:pPr>
        <w:pStyle w:val="0"/>
        <w:spacing w:before="200" w:lineRule="auto"/>
        <w:ind w:firstLine="540"/>
        <w:jc w:val="both"/>
      </w:pPr>
      <w:r>
        <w:rPr>
          <w:sz w:val="20"/>
        </w:rPr>
        <w:t xml:space="preserve">В случае реализации негативного макроэкономического сценария параметры отдельных ипотечных программ с государственной поддержкой могут быть пересмотрены, в том числе продлен срок их действия.</w:t>
      </w:r>
    </w:p>
    <w:p>
      <w:pPr>
        <w:pStyle w:val="0"/>
        <w:spacing w:before="200" w:lineRule="auto"/>
        <w:ind w:firstLine="540"/>
        <w:jc w:val="both"/>
      </w:pPr>
      <w:r>
        <w:rPr>
          <w:sz w:val="20"/>
        </w:rPr>
        <w:t xml:space="preserve">Важным для успешной реализации Стратегии является обеспечение макроэкономической стабильности и роста доходов населения в соответствии с базовыми прогнозами Министерства экономического развития Российской Федерации и Центрального банка Российской Федерации (не менее чем на 2,3 процента ежегодно с 2024 года).</w:t>
      </w:r>
    </w:p>
    <w:p>
      <w:pPr>
        <w:pStyle w:val="0"/>
        <w:spacing w:before="200" w:lineRule="auto"/>
        <w:ind w:firstLine="540"/>
        <w:jc w:val="both"/>
      </w:pPr>
      <w:r>
        <w:rPr>
          <w:sz w:val="20"/>
        </w:rPr>
        <w:t xml:space="preserve">При этом государство и институты развития должны обеспечить необходимый уровень инфраструктурного развития.</w:t>
      </w:r>
    </w:p>
    <w:p>
      <w:pPr>
        <w:pStyle w:val="0"/>
        <w:spacing w:before="200" w:lineRule="auto"/>
        <w:ind w:firstLine="540"/>
        <w:jc w:val="both"/>
      </w:pPr>
      <w:r>
        <w:rPr>
          <w:sz w:val="20"/>
        </w:rPr>
        <w:t xml:space="preserve">Важным инструментом для выполнения запланированных целей и приоритетов Стратегии является достижение финансовой сбалансированности федеральной адресной инвестиционной программы, которая консолидирует в себе расходы по направлениям капитальных вложений.</w:t>
      </w:r>
    </w:p>
    <w:p>
      <w:pPr>
        <w:pStyle w:val="0"/>
        <w:spacing w:before="200" w:lineRule="auto"/>
        <w:ind w:firstLine="540"/>
        <w:jc w:val="both"/>
      </w:pPr>
      <w:r>
        <w:rPr>
          <w:sz w:val="20"/>
        </w:rPr>
        <w:t xml:space="preserve">Использование механизмов государственно-частного партнерства при реализации проектов в сфере жилищно-коммунального хозяйства имеет большие перспективы для развития отрасли. Инструмент концессий позволяет не только привлечь необходимые инвестиции, но и комплексно развивать инфраструктурные объекты, обеспечивая высокий уровень услуг для населения.</w:t>
      </w:r>
    </w:p>
    <w:p>
      <w:pPr>
        <w:pStyle w:val="0"/>
        <w:spacing w:before="200" w:lineRule="auto"/>
        <w:ind w:firstLine="540"/>
        <w:jc w:val="both"/>
      </w:pPr>
      <w:r>
        <w:rPr>
          <w:sz w:val="20"/>
        </w:rPr>
        <w:t xml:space="preserve">Кроме того, мероприятия по модернизации, реконструкции, новому строительству объектов коммунальной инфраструктуры (в том числе подготовка проектной документации), подготовке к отопительному периоду, а также возмещению выпадающих доходов ресурсоснабжающих организаций осуществляются за счет бюджетов бюджетной системы Российской Федерации.</w:t>
      </w:r>
    </w:p>
    <w:p>
      <w:pPr>
        <w:pStyle w:val="0"/>
        <w:spacing w:before="200" w:lineRule="auto"/>
        <w:ind w:firstLine="540"/>
        <w:jc w:val="both"/>
      </w:pPr>
      <w:r>
        <w:rPr>
          <w:sz w:val="20"/>
        </w:rPr>
        <w:t xml:space="preserve">Необходимый объем инвестиций на ускоренное обновление сетевого хозяйства составляет более 9,1 трлн. рублей до 2030 года, на мероприятия по замене инфраструктуры с износом выше 60 процентов - более 4 трлн. рублей сверх инвестиций, предусмотренных в тарифах на реализацию инвестиционных программ.</w:t>
      </w:r>
    </w:p>
    <w:p>
      <w:pPr>
        <w:pStyle w:val="0"/>
        <w:spacing w:before="200" w:lineRule="auto"/>
        <w:ind w:firstLine="540"/>
        <w:jc w:val="both"/>
      </w:pPr>
      <w:r>
        <w:rPr>
          <w:sz w:val="20"/>
        </w:rPr>
        <w:t xml:space="preserve">Одним из инструментов повышения энергетической эффективности сферы жилищно-коммунального хозяйства, снижения потерь на сетях теплоснабжения, водоснабжения и водоотведения, снижения аварийности в условиях ежегодной деградации коммунальной инфраструктуры будет являться программа модернизации коммунальной инфраструктуры на период 2023 - 2027 годов с прогнозом до 2030 года, финансирование которой будет осуществляться за счет как бюджетных, так и внебюджетных источников.</w:t>
      </w:r>
    </w:p>
    <w:p>
      <w:pPr>
        <w:pStyle w:val="0"/>
        <w:spacing w:before="200" w:lineRule="auto"/>
        <w:ind w:firstLine="540"/>
        <w:jc w:val="both"/>
      </w:pPr>
      <w:r>
        <w:rPr>
          <w:sz w:val="20"/>
        </w:rPr>
        <w:t xml:space="preserve">Развитие инфраструктуры регионов будет также обеспечиваться за счет других мер государственной поддержки комплекса инструментов, предусмотренных федеральным проектом "Инфраструктурное меню", позволяющих направлять возвратные бюджетные средства на реализацию экономически эффективных и социально значимых проектов.</w:t>
      </w:r>
    </w:p>
    <w:p>
      <w:pPr>
        <w:pStyle w:val="0"/>
        <w:spacing w:before="200" w:lineRule="auto"/>
        <w:ind w:firstLine="540"/>
        <w:jc w:val="both"/>
      </w:pPr>
      <w:r>
        <w:rPr>
          <w:sz w:val="20"/>
        </w:rPr>
        <w:t xml:space="preserve">Основными инструментами, предусмотренными федеральным проектом "Инфраструктурное меню", являются:</w:t>
      </w:r>
    </w:p>
    <w:p>
      <w:pPr>
        <w:pStyle w:val="0"/>
        <w:spacing w:before="200" w:lineRule="auto"/>
        <w:ind w:firstLine="540"/>
        <w:jc w:val="both"/>
      </w:pPr>
      <w:r>
        <w:rPr>
          <w:sz w:val="20"/>
        </w:rPr>
        <w:t xml:space="preserve">инфраструктурные бюджетные кредиты;</w:t>
      </w:r>
    </w:p>
    <w:p>
      <w:pPr>
        <w:pStyle w:val="0"/>
        <w:spacing w:before="200" w:lineRule="auto"/>
        <w:ind w:firstLine="540"/>
        <w:jc w:val="both"/>
      </w:pPr>
      <w:r>
        <w:rPr>
          <w:sz w:val="20"/>
        </w:rPr>
        <w:t xml:space="preserve">инфраструктурные облигации;</w:t>
      </w:r>
    </w:p>
    <w:p>
      <w:pPr>
        <w:pStyle w:val="0"/>
        <w:spacing w:before="200" w:lineRule="auto"/>
        <w:ind w:firstLine="540"/>
        <w:jc w:val="both"/>
      </w:pPr>
      <w:r>
        <w:rPr>
          <w:sz w:val="20"/>
        </w:rPr>
        <w:t xml:space="preserve">предоставление средств Фонда национального благосостояния публично-правовой компании "Фонд развития территорий";</w:t>
      </w:r>
    </w:p>
    <w:p>
      <w:pPr>
        <w:pStyle w:val="0"/>
        <w:jc w:val="both"/>
      </w:pPr>
      <w:r>
        <w:rPr>
          <w:sz w:val="20"/>
        </w:rPr>
        <w:t xml:space="preserve">(в ред. </w:t>
      </w:r>
      <w:r>
        <w:rPr>
          <w:sz w:val="20"/>
        </w:rPr>
        <w:t xml:space="preserve">Постановления</w:t>
      </w:r>
      <w:r>
        <w:rPr>
          <w:sz w:val="20"/>
        </w:rPr>
        <w:t xml:space="preserve"> Правительства РФ от 20.09.2023 N 1529)</w:t>
      </w:r>
    </w:p>
    <w:p>
      <w:pPr>
        <w:pStyle w:val="0"/>
        <w:spacing w:before="200" w:lineRule="auto"/>
        <w:ind w:firstLine="540"/>
        <w:jc w:val="both"/>
      </w:pPr>
      <w:r>
        <w:rPr>
          <w:sz w:val="20"/>
        </w:rPr>
        <w:t xml:space="preserve">субсидирование процентной ставки по кредитам, выданным на досрочное исполнение контрактов;</w:t>
      </w:r>
    </w:p>
    <w:p>
      <w:pPr>
        <w:pStyle w:val="0"/>
        <w:spacing w:before="200" w:lineRule="auto"/>
        <w:ind w:firstLine="540"/>
        <w:jc w:val="both"/>
      </w:pPr>
      <w:r>
        <w:rPr>
          <w:sz w:val="20"/>
        </w:rPr>
        <w:t xml:space="preserve">реструктуризация бюджетных кредитов в 2020 - 2021 годах в целях инфраструктурной поддержки реализации новых инвестиционных проектов;</w:t>
      </w:r>
    </w:p>
    <w:p>
      <w:pPr>
        <w:pStyle w:val="0"/>
        <w:spacing w:before="200" w:lineRule="auto"/>
        <w:ind w:firstLine="540"/>
        <w:jc w:val="both"/>
      </w:pPr>
      <w:r>
        <w:rPr>
          <w:sz w:val="20"/>
        </w:rPr>
        <w:t xml:space="preserve">поддержка проектов по строительству, модернизации и реконструкции объектов инфраструктуры со стороны государственной корпорации развития "ВЭБ.РФ";</w:t>
      </w:r>
    </w:p>
    <w:p>
      <w:pPr>
        <w:pStyle w:val="0"/>
        <w:spacing w:before="200" w:lineRule="auto"/>
        <w:ind w:firstLine="540"/>
        <w:jc w:val="both"/>
      </w:pPr>
      <w:r>
        <w:rPr>
          <w:sz w:val="20"/>
        </w:rPr>
        <w:t xml:space="preserve">программа модернизации коммунальной инфраструктуры на период 2023 - 2027 годов с прогнозом до 2030 года.</w:t>
      </w:r>
    </w:p>
    <w:p>
      <w:pPr>
        <w:pStyle w:val="0"/>
        <w:jc w:val="both"/>
      </w:pPr>
      <w:r>
        <w:rPr>
          <w:sz w:val="20"/>
        </w:rPr>
      </w:r>
    </w:p>
    <w:p>
      <w:pPr>
        <w:pStyle w:val="2"/>
        <w:outlineLvl w:val="1"/>
        <w:jc w:val="center"/>
      </w:pPr>
      <w:r>
        <w:rPr>
          <w:sz w:val="20"/>
        </w:rPr>
        <w:t xml:space="preserve">XIII. Мониторинг реализации Стратегии</w:t>
      </w:r>
    </w:p>
    <w:p>
      <w:pPr>
        <w:pStyle w:val="0"/>
        <w:jc w:val="both"/>
      </w:pPr>
      <w:r>
        <w:rPr>
          <w:sz w:val="20"/>
        </w:rPr>
      </w:r>
    </w:p>
    <w:p>
      <w:pPr>
        <w:pStyle w:val="0"/>
        <w:ind w:firstLine="540"/>
        <w:jc w:val="both"/>
      </w:pPr>
      <w:r>
        <w:rPr>
          <w:sz w:val="20"/>
        </w:rPr>
        <w:t xml:space="preserve">Координация и методическое обеспечение разработки и корректировки Стратегии обеспечиваются Министерством строительства и жилищно-коммунального хозяйства Российской Федерации.</w:t>
      </w:r>
    </w:p>
    <w:p>
      <w:pPr>
        <w:pStyle w:val="0"/>
        <w:spacing w:before="200" w:lineRule="auto"/>
        <w:ind w:firstLine="540"/>
        <w:jc w:val="both"/>
      </w:pPr>
      <w:r>
        <w:rPr>
          <w:sz w:val="20"/>
        </w:rPr>
        <w:t xml:space="preserve">Реализация Стратегии осуществляется федеральными органами исполнительной власти, исполнительными органами субъектов Российской Федерации, органами местного самоуправления, институтами развития и научными организациями, профессиональным и бизнес-сообществом строительной отрасли в соответствии с полномочиями в установленной сфере деятельности.</w:t>
      </w:r>
    </w:p>
    <w:p>
      <w:pPr>
        <w:pStyle w:val="0"/>
        <w:jc w:val="both"/>
      </w:pPr>
      <w:r>
        <w:rPr>
          <w:sz w:val="20"/>
        </w:rPr>
        <w:t xml:space="preserve">(в ред. </w:t>
      </w:r>
      <w:r>
        <w:rPr>
          <w:sz w:val="20"/>
        </w:rPr>
        <w:t xml:space="preserve">Постановления</w:t>
      </w:r>
      <w:r>
        <w:rPr>
          <w:sz w:val="20"/>
        </w:rPr>
        <w:t xml:space="preserve"> Правительства РФ от 20.09.2023 N 1529)</w:t>
      </w:r>
    </w:p>
    <w:p>
      <w:pPr>
        <w:pStyle w:val="0"/>
        <w:spacing w:before="200" w:lineRule="auto"/>
        <w:ind w:firstLine="540"/>
        <w:jc w:val="both"/>
      </w:pPr>
      <w:r>
        <w:rPr>
          <w:sz w:val="20"/>
        </w:rPr>
        <w:t xml:space="preserve">Участники реализации Стратегии представляют информацию о достигнутых или недостигнутых результатах (с обоснованием причин их недостижения) по форме и в сроки, которые утверждаются ведомственным актом Министерства строительства и жилищно-коммунального хозяйства Российской Федерации.</w:t>
      </w:r>
    </w:p>
    <w:p>
      <w:pPr>
        <w:pStyle w:val="0"/>
        <w:spacing w:before="200" w:lineRule="auto"/>
        <w:ind w:firstLine="540"/>
        <w:jc w:val="both"/>
      </w:pPr>
      <w:r>
        <w:rPr>
          <w:sz w:val="20"/>
        </w:rPr>
        <w:t xml:space="preserve">Мониторинг достижения целей, решения задач и выполнения мероприятий национальных проектов, содержащих результаты для строительной отрасли и жилищно-коммунального хозяйства, осуществляется на основе государственной автоматизированной информационной системы "Управление".</w:t>
      </w:r>
    </w:p>
    <w:p>
      <w:pPr>
        <w:pStyle w:val="0"/>
        <w:spacing w:before="200" w:lineRule="auto"/>
        <w:ind w:firstLine="540"/>
        <w:jc w:val="both"/>
      </w:pPr>
      <w:r>
        <w:rPr>
          <w:sz w:val="20"/>
        </w:rPr>
        <w:t xml:space="preserve">Выстраивание аналитически-прогнозной вертикали для отрасли позволит обеспечивать подробный анализ и получать сведения с детализацией до отдельных объектов капитального строительства.</w:t>
      </w:r>
    </w:p>
    <w:p>
      <w:pPr>
        <w:pStyle w:val="0"/>
        <w:spacing w:before="200" w:lineRule="auto"/>
        <w:ind w:firstLine="540"/>
        <w:jc w:val="both"/>
      </w:pPr>
      <w:r>
        <w:rPr>
          <w:sz w:val="20"/>
        </w:rPr>
        <w:t xml:space="preserve">Динамику расширения использования технологий информационного моделирования и интенсификации строительства новых объектов капитального строительства в целом достоверно отражает государственная информационная система "Единый государственный реестр заключений экспертизы проектной документации объектов капитального строительства".</w:t>
      </w:r>
    </w:p>
    <w:p>
      <w:pPr>
        <w:pStyle w:val="0"/>
        <w:spacing w:before="200" w:lineRule="auto"/>
        <w:ind w:firstLine="540"/>
        <w:jc w:val="both"/>
      </w:pPr>
      <w:r>
        <w:rPr>
          <w:sz w:val="20"/>
        </w:rPr>
        <w:t xml:space="preserve">Статистические сведения, в том числе по динамике ввода жилья, обеспечиваются работой единой информационной системы жилищного строительства.</w:t>
      </w:r>
    </w:p>
    <w:p>
      <w:pPr>
        <w:pStyle w:val="0"/>
        <w:spacing w:before="200" w:lineRule="auto"/>
        <w:ind w:firstLine="540"/>
        <w:jc w:val="both"/>
      </w:pPr>
      <w:r>
        <w:rPr>
          <w:sz w:val="20"/>
        </w:rPr>
        <w:t xml:space="preserve">Оперативная информация, позволяющая обеспечивать государственный строительный контроль, содержится в информационно-аналитической системе управления инвестиционно-строительными проектами.</w:t>
      </w:r>
    </w:p>
    <w:p>
      <w:pPr>
        <w:pStyle w:val="0"/>
        <w:spacing w:before="200" w:lineRule="auto"/>
        <w:ind w:firstLine="540"/>
        <w:jc w:val="both"/>
      </w:pPr>
      <w:r>
        <w:rPr>
          <w:sz w:val="20"/>
        </w:rPr>
        <w:t xml:space="preserve">Источником получения сведений на стадии эксплуатации объектов выступает автоматизированная информационная система публично-правовой компании "Фонд развития территорий".</w:t>
      </w:r>
    </w:p>
    <w:p>
      <w:pPr>
        <w:pStyle w:val="0"/>
        <w:jc w:val="both"/>
      </w:pPr>
      <w:r>
        <w:rPr>
          <w:sz w:val="20"/>
        </w:rPr>
        <w:t xml:space="preserve">(в ред. </w:t>
      </w:r>
      <w:r>
        <w:rPr>
          <w:sz w:val="20"/>
        </w:rPr>
        <w:t xml:space="preserve">Постановления</w:t>
      </w:r>
      <w:r>
        <w:rPr>
          <w:sz w:val="20"/>
        </w:rPr>
        <w:t xml:space="preserve"> Правительства РФ от 20.09.2023 N 1529)</w:t>
      </w:r>
    </w:p>
    <w:p>
      <w:pPr>
        <w:pStyle w:val="0"/>
        <w:spacing w:before="200" w:lineRule="auto"/>
        <w:ind w:firstLine="540"/>
        <w:jc w:val="both"/>
      </w:pPr>
      <w:r>
        <w:rPr>
          <w:sz w:val="20"/>
        </w:rPr>
        <w:t xml:space="preserve">Усиление контроля за ресурсной базой и стоимостью строительно-инвестиционного цикла осуществляется на базе федеральной информационной системы ценообразования в строительстве.</w:t>
      </w:r>
    </w:p>
    <w:p>
      <w:pPr>
        <w:pStyle w:val="0"/>
        <w:spacing w:before="200" w:lineRule="auto"/>
        <w:ind w:firstLine="540"/>
        <w:jc w:val="both"/>
      </w:pPr>
      <w:r>
        <w:rPr>
          <w:sz w:val="20"/>
        </w:rPr>
        <w:t xml:space="preserve">Показатели признания и расселения аварийного жилищного фонда в субъектах Российской Федерации размещаются в автоматизированной информационной системе публично-правовой компании "Фонд развития территорий".</w:t>
      </w:r>
    </w:p>
    <w:p>
      <w:pPr>
        <w:pStyle w:val="0"/>
        <w:jc w:val="both"/>
      </w:pPr>
      <w:r>
        <w:rPr>
          <w:sz w:val="20"/>
        </w:rPr>
        <w:t xml:space="preserve">(в ред. </w:t>
      </w:r>
      <w:r>
        <w:rPr>
          <w:sz w:val="20"/>
        </w:rPr>
        <w:t xml:space="preserve">Постановления</w:t>
      </w:r>
      <w:r>
        <w:rPr>
          <w:sz w:val="20"/>
        </w:rPr>
        <w:t xml:space="preserve"> Правительства РФ от 20.09.2023 N 1529)</w:t>
      </w:r>
    </w:p>
    <w:p>
      <w:pPr>
        <w:pStyle w:val="0"/>
        <w:spacing w:before="200" w:lineRule="auto"/>
        <w:ind w:firstLine="540"/>
        <w:jc w:val="both"/>
      </w:pPr>
      <w:r>
        <w:rPr>
          <w:sz w:val="20"/>
        </w:rPr>
        <w:t xml:space="preserve">Источником получения данных также являются государственные информационные системы градостроительной деятельности субъектов Российской Федерации.</w:t>
      </w:r>
    </w:p>
    <w:p>
      <w:pPr>
        <w:pStyle w:val="0"/>
        <w:spacing w:before="200" w:lineRule="auto"/>
        <w:ind w:firstLine="540"/>
        <w:jc w:val="both"/>
      </w:pPr>
      <w:r>
        <w:rPr>
          <w:sz w:val="20"/>
        </w:rPr>
        <w:t xml:space="preserve">Обеспечение интеграции указанных систем и информационных систем в предмете ведения Федеральной службы государственной регистрации, кадастра и картографии, а также создание цифровых продуктов для принятия управленческих решений в градостроительной области и в сфере пространственного планирования на федеральном уровне позволят в последующем снизить длительность инвестиционно-строительного цикла, повысить эффективность государственной градостроительной политики и отражать в режиме реального времени статус объекта капитального строительства на всем протяжении его жизненного цикла.</w:t>
      </w:r>
    </w:p>
    <w:p>
      <w:pPr>
        <w:pStyle w:val="0"/>
        <w:spacing w:before="200" w:lineRule="auto"/>
        <w:ind w:firstLine="540"/>
        <w:jc w:val="both"/>
      </w:pPr>
      <w:r>
        <w:rPr>
          <w:sz w:val="20"/>
        </w:rPr>
        <w:t xml:space="preserve">Мониторинг и методика расчета значений целевых показателей Стратегии утверждаются Министерством строительства и жилищно-коммунального хозяйства Российской Федерации.</w:t>
      </w:r>
    </w:p>
    <w:p>
      <w:pPr>
        <w:pStyle w:val="0"/>
        <w:jc w:val="both"/>
      </w:pPr>
      <w:r>
        <w:rPr>
          <w:sz w:val="20"/>
        </w:rPr>
      </w:r>
    </w:p>
    <w:p>
      <w:pPr>
        <w:pStyle w:val="2"/>
        <w:outlineLvl w:val="1"/>
        <w:jc w:val="center"/>
      </w:pPr>
      <w:r>
        <w:rPr>
          <w:sz w:val="20"/>
        </w:rPr>
        <w:t xml:space="preserve">XIV. Сценарии и риски реализации Стратегии</w:t>
      </w:r>
    </w:p>
    <w:p>
      <w:pPr>
        <w:pStyle w:val="0"/>
        <w:jc w:val="both"/>
      </w:pPr>
      <w:r>
        <w:rPr>
          <w:sz w:val="20"/>
        </w:rPr>
      </w:r>
    </w:p>
    <w:p>
      <w:pPr>
        <w:pStyle w:val="0"/>
        <w:ind w:firstLine="540"/>
        <w:jc w:val="both"/>
      </w:pPr>
      <w:r>
        <w:rPr>
          <w:sz w:val="20"/>
        </w:rPr>
        <w:t xml:space="preserve">За основу долгосрочного прогнозирования динамики развития строительной отрасли Российской Федерации до 2030 года приняты среднесрочный и долгосрочный прогнозы Министерства экономического развития Российской Федерации.</w:t>
      </w:r>
    </w:p>
    <w:p>
      <w:pPr>
        <w:pStyle w:val="0"/>
        <w:spacing w:before="200" w:lineRule="auto"/>
        <w:ind w:firstLine="540"/>
        <w:jc w:val="both"/>
      </w:pPr>
      <w:r>
        <w:rPr>
          <w:sz w:val="20"/>
        </w:rPr>
        <w:t xml:space="preserve">На реализацию целей и задач Стратегии будут влиять параметры макроэкономической конъюнктуры, социальные и политические факторы, а также региональные и местные социально-экономические условия и особенности территорий Российской Федерации.</w:t>
      </w:r>
    </w:p>
    <w:p>
      <w:pPr>
        <w:pStyle w:val="0"/>
        <w:spacing w:before="200" w:lineRule="auto"/>
        <w:ind w:firstLine="540"/>
        <w:jc w:val="both"/>
      </w:pPr>
      <w:r>
        <w:rPr>
          <w:sz w:val="20"/>
        </w:rPr>
        <w:t xml:space="preserve">Согласно прогнозу социально-экономического развития Российской Федерации на период до 2036 года ожидается, что сохранится тренд на снижение уровня безработицы и увеличение реальных доходов населения за счет ускорения темпов экономического роста. Тенденции социально-экономического развития должны способствовать повышению спроса на строительные услуги, платежеспособного спроса на жилье, снижению доли расходов на жилищно-коммунальные услуги в потребительских расходах населения в среднем по России и повышению собираемости платы за жилищно-коммунальные услуги.</w:t>
      </w:r>
    </w:p>
    <w:p>
      <w:pPr>
        <w:pStyle w:val="0"/>
        <w:spacing w:before="200" w:lineRule="auto"/>
        <w:ind w:firstLine="540"/>
        <w:jc w:val="both"/>
      </w:pPr>
      <w:r>
        <w:rPr>
          <w:sz w:val="20"/>
        </w:rPr>
        <w:t xml:space="preserve">При этом проблема социального неравенства и региональной дифференциации доходов населения будет сохраняться, приоритет по социальной защите и государственной поддержке отдельных групп населения не утратит свою актуальность на весь период реализации Стратегии.</w:t>
      </w:r>
    </w:p>
    <w:p>
      <w:pPr>
        <w:pStyle w:val="0"/>
        <w:spacing w:before="200" w:lineRule="auto"/>
        <w:ind w:firstLine="540"/>
        <w:jc w:val="both"/>
      </w:pPr>
      <w:r>
        <w:rPr>
          <w:sz w:val="20"/>
        </w:rPr>
        <w:t xml:space="preserve">Значительное влияние на развитие строительной отрасли и сферы жилищно-коммунального хозяйства оказывают социальные факторы, включая задачи по социальной поддержке населения. Вопросы стоимости и доступности жилья, социальной инфраструктуры и жилищно-коммунальных услуг сохраняют свою значимость для населения и будут актуальны в долгосрочной перспективе.</w:t>
      </w:r>
    </w:p>
    <w:p>
      <w:pPr>
        <w:pStyle w:val="0"/>
        <w:spacing w:before="200" w:lineRule="auto"/>
        <w:ind w:firstLine="540"/>
        <w:jc w:val="both"/>
      </w:pPr>
      <w:r>
        <w:rPr>
          <w:sz w:val="20"/>
        </w:rPr>
        <w:t xml:space="preserve">Основными эффектами, ожидаемыми по итогам реализации мероприятий Стратегии, являются:</w:t>
      </w:r>
    </w:p>
    <w:p>
      <w:pPr>
        <w:pStyle w:val="0"/>
        <w:spacing w:before="200" w:lineRule="auto"/>
        <w:ind w:firstLine="540"/>
        <w:jc w:val="both"/>
      </w:pPr>
      <w:r>
        <w:rPr>
          <w:sz w:val="20"/>
        </w:rPr>
        <w:t xml:space="preserve">социальные эффекты:</w:t>
      </w:r>
    </w:p>
    <w:p>
      <w:pPr>
        <w:pStyle w:val="0"/>
        <w:spacing w:before="200" w:lineRule="auto"/>
        <w:ind w:firstLine="540"/>
        <w:jc w:val="both"/>
      </w:pPr>
      <w:r>
        <w:rPr>
          <w:sz w:val="20"/>
        </w:rPr>
        <w:t xml:space="preserve">улучшение жилищных условий граждан за счет повышения доступности жилья, развития жилищно-коммунальной сферы;</w:t>
      </w:r>
    </w:p>
    <w:p>
      <w:pPr>
        <w:pStyle w:val="0"/>
        <w:spacing w:before="200" w:lineRule="auto"/>
        <w:ind w:firstLine="540"/>
        <w:jc w:val="both"/>
      </w:pPr>
      <w:r>
        <w:rPr>
          <w:sz w:val="20"/>
        </w:rPr>
        <w:t xml:space="preserve">повышение комфортности городской среды за счет создания благоустроенных общественных пространств, благоустройства дворовых территорий;</w:t>
      </w:r>
    </w:p>
    <w:p>
      <w:pPr>
        <w:pStyle w:val="0"/>
        <w:spacing w:before="200" w:lineRule="auto"/>
        <w:ind w:firstLine="540"/>
        <w:jc w:val="both"/>
      </w:pPr>
      <w:r>
        <w:rPr>
          <w:sz w:val="20"/>
        </w:rPr>
        <w:t xml:space="preserve">повышение качества коммунальных услуг за счет модернизации коммунальной инфраструктуры, снижения потерь и ограничений в предоставлении коммунальных ресурсов, вызванных аварийными инцидентами, и привлечения внебюджетных источников финансирования в объекты коммунальной инфраструктуры;</w:t>
      </w:r>
    </w:p>
    <w:p>
      <w:pPr>
        <w:pStyle w:val="0"/>
        <w:spacing w:before="200" w:lineRule="auto"/>
        <w:ind w:firstLine="540"/>
        <w:jc w:val="both"/>
      </w:pPr>
      <w:r>
        <w:rPr>
          <w:sz w:val="20"/>
        </w:rPr>
        <w:t xml:space="preserve">повышение уровня удовлетворенности граждан жилищными условиями и предоставляемыми жилищно-коммунальными услугами, в том числе за счет повышения качества услуг, приведения в нормативное состояние объектов жилищного фонда, повышения конкурентоспособности организаций в сфере жилищно-коммунального хозяйства;</w:t>
      </w:r>
    </w:p>
    <w:p>
      <w:pPr>
        <w:pStyle w:val="0"/>
        <w:spacing w:before="200" w:lineRule="auto"/>
        <w:ind w:firstLine="540"/>
        <w:jc w:val="both"/>
      </w:pPr>
      <w:r>
        <w:rPr>
          <w:sz w:val="20"/>
        </w:rPr>
        <w:t xml:space="preserve">экономические эффекты:</w:t>
      </w:r>
    </w:p>
    <w:p>
      <w:pPr>
        <w:pStyle w:val="0"/>
        <w:spacing w:before="200" w:lineRule="auto"/>
        <w:ind w:firstLine="540"/>
        <w:jc w:val="both"/>
      </w:pPr>
      <w:r>
        <w:rPr>
          <w:sz w:val="20"/>
        </w:rPr>
        <w:t xml:space="preserve">повышение конкурентоспособности строительной отрасли за счет сокращения инвестиционно-строительного цикла, актуализации нормативов и технических требований, а также применения инновационных технологий;</w:t>
      </w:r>
    </w:p>
    <w:p>
      <w:pPr>
        <w:pStyle w:val="0"/>
        <w:spacing w:before="200" w:lineRule="auto"/>
        <w:ind w:firstLine="540"/>
        <w:jc w:val="both"/>
      </w:pPr>
      <w:r>
        <w:rPr>
          <w:sz w:val="20"/>
        </w:rPr>
        <w:t xml:space="preserve">рост объемов работ за счет снятия ограничений по обеспечению необходимой инфраструктурой объектов в рамках реализации новых инвестиционных проектов в различных сферах региональной экономики путем создания (модернизации) объектов инфраструктуры;</w:t>
      </w:r>
    </w:p>
    <w:p>
      <w:pPr>
        <w:pStyle w:val="0"/>
        <w:spacing w:before="200" w:lineRule="auto"/>
        <w:ind w:firstLine="540"/>
        <w:jc w:val="both"/>
      </w:pPr>
      <w:r>
        <w:rPr>
          <w:sz w:val="20"/>
        </w:rPr>
        <w:t xml:space="preserve">сокращение сроков и затрат инвестиционно-строительного цикла объектов капитального строительства за счет сокращения административных барьеров, повышения уровня цифровой зрелости участников градостроительной деятельности, повышения производительности труда, оперативного внедрения новых технологий;</w:t>
      </w:r>
    </w:p>
    <w:p>
      <w:pPr>
        <w:pStyle w:val="0"/>
        <w:spacing w:before="200" w:lineRule="auto"/>
        <w:ind w:firstLine="540"/>
        <w:jc w:val="both"/>
      </w:pPr>
      <w:r>
        <w:rPr>
          <w:sz w:val="20"/>
        </w:rPr>
        <w:t xml:space="preserve">повышение прозрачности и инвестиционной привлекательности отрасли;</w:t>
      </w:r>
    </w:p>
    <w:p>
      <w:pPr>
        <w:pStyle w:val="0"/>
        <w:spacing w:before="200" w:lineRule="auto"/>
        <w:ind w:firstLine="540"/>
        <w:jc w:val="both"/>
      </w:pPr>
      <w:r>
        <w:rPr>
          <w:sz w:val="20"/>
        </w:rPr>
        <w:t xml:space="preserve">снижение административной нагрузки;</w:t>
      </w:r>
    </w:p>
    <w:p>
      <w:pPr>
        <w:pStyle w:val="0"/>
        <w:spacing w:before="200" w:lineRule="auto"/>
        <w:ind w:firstLine="540"/>
        <w:jc w:val="both"/>
      </w:pPr>
      <w:r>
        <w:rPr>
          <w:sz w:val="20"/>
        </w:rPr>
        <w:t xml:space="preserve">повышение оперативности и эффективности управленческих решений на всех уровнях;</w:t>
      </w:r>
    </w:p>
    <w:p>
      <w:pPr>
        <w:pStyle w:val="0"/>
        <w:spacing w:before="200" w:lineRule="auto"/>
        <w:ind w:firstLine="540"/>
        <w:jc w:val="both"/>
      </w:pPr>
      <w:r>
        <w:rPr>
          <w:sz w:val="20"/>
        </w:rPr>
        <w:t xml:space="preserve">повышение эффективности капитальных вложений;</w:t>
      </w:r>
    </w:p>
    <w:p>
      <w:pPr>
        <w:pStyle w:val="0"/>
        <w:spacing w:before="200" w:lineRule="auto"/>
        <w:ind w:firstLine="540"/>
        <w:jc w:val="both"/>
      </w:pPr>
      <w:r>
        <w:rPr>
          <w:sz w:val="20"/>
        </w:rPr>
        <w:t xml:space="preserve">увеличение спроса на продукцию отечественного машиностроения, обрабатывающих производств в рамках импортозамещения и локализации производства строительных материалов, оборудования для нужд отраслей строительства и жилищно-коммунального хозяйства на территории Российской Федерации;</w:t>
      </w:r>
    </w:p>
    <w:p>
      <w:pPr>
        <w:pStyle w:val="0"/>
        <w:spacing w:before="200" w:lineRule="auto"/>
        <w:ind w:firstLine="540"/>
        <w:jc w:val="both"/>
      </w:pPr>
      <w:r>
        <w:rPr>
          <w:sz w:val="20"/>
        </w:rPr>
        <w:t xml:space="preserve">увеличение налоговых платежей в бюджеты всех уровней и поступлений во внебюджетные фонды за счет увеличения объемов прибыли организаций.</w:t>
      </w:r>
    </w:p>
    <w:p>
      <w:pPr>
        <w:pStyle w:val="0"/>
        <w:spacing w:before="200" w:lineRule="auto"/>
        <w:ind w:firstLine="540"/>
        <w:jc w:val="both"/>
      </w:pPr>
      <w:r>
        <w:rPr>
          <w:sz w:val="20"/>
        </w:rPr>
        <w:t xml:space="preserve">Кроме того, реализация мероприятий Стратегии не только будет способствовать улучшению жилищных условий граждан, развитию строительной отрасли и жилищно-коммунального хозяйства, но и окажет мультипликативный эффект на смежные секторы экономики и социальную сферу.</w:t>
      </w:r>
    </w:p>
    <w:p>
      <w:pPr>
        <w:pStyle w:val="0"/>
        <w:jc w:val="both"/>
      </w:pPr>
      <w:r>
        <w:rPr>
          <w:sz w:val="20"/>
        </w:rPr>
      </w:r>
    </w:p>
    <w:p>
      <w:pPr>
        <w:pStyle w:val="2"/>
        <w:outlineLvl w:val="2"/>
        <w:jc w:val="center"/>
      </w:pPr>
      <w:r>
        <w:rPr>
          <w:sz w:val="20"/>
        </w:rPr>
        <w:t xml:space="preserve">Макроэкономические риски, влияющие на реализацию Стратегии</w:t>
      </w:r>
    </w:p>
    <w:p>
      <w:pPr>
        <w:pStyle w:val="0"/>
        <w:jc w:val="both"/>
      </w:pPr>
      <w:r>
        <w:rPr>
          <w:sz w:val="20"/>
        </w:rPr>
      </w:r>
    </w:p>
    <w:p>
      <w:pPr>
        <w:pStyle w:val="0"/>
        <w:ind w:firstLine="540"/>
        <w:jc w:val="both"/>
      </w:pPr>
      <w:r>
        <w:rPr>
          <w:sz w:val="20"/>
        </w:rPr>
        <w:t xml:space="preserve">К макроэкономическим рискам, влияющим на развитие строительной отрасли и жилищно-коммунального хозяйства и, как следствие, на реализацию Стратегии и достижение ее основных результатов, можно отнести:</w:t>
      </w:r>
    </w:p>
    <w:p>
      <w:pPr>
        <w:pStyle w:val="0"/>
        <w:spacing w:before="200" w:lineRule="auto"/>
        <w:ind w:firstLine="540"/>
        <w:jc w:val="both"/>
      </w:pPr>
      <w:r>
        <w:rPr>
          <w:sz w:val="20"/>
        </w:rPr>
        <w:t xml:space="preserve">финансовые риски, связанные с возможным отсутствием необходимого финансового обеспечения мероприятий Стратегии и низкой инвестиционной привлекательностью отдельных проектов и программ;</w:t>
      </w:r>
    </w:p>
    <w:p>
      <w:pPr>
        <w:pStyle w:val="0"/>
        <w:spacing w:before="200" w:lineRule="auto"/>
        <w:ind w:firstLine="540"/>
        <w:jc w:val="both"/>
      </w:pPr>
      <w:r>
        <w:rPr>
          <w:sz w:val="20"/>
        </w:rPr>
        <w:t xml:space="preserve">низкие темпы экономического роста или спад экономики, а также сильную дифференциацию экономического роста в зависимости от размера населенного пункта и субъекта Российской Федерации (недостижение целевых показателей базового сценария Министерства экономического развития Российской Федерации, в том числе роста реальных доходов населения не менее чем на 2,3 процента с 2024 года ежегодно);</w:t>
      </w:r>
    </w:p>
    <w:p>
      <w:pPr>
        <w:pStyle w:val="0"/>
        <w:spacing w:before="200" w:lineRule="auto"/>
        <w:ind w:firstLine="540"/>
        <w:jc w:val="both"/>
      </w:pPr>
      <w:r>
        <w:rPr>
          <w:sz w:val="20"/>
        </w:rPr>
        <w:t xml:space="preserve">инфляционные риски, влияющие на снижение рентабельности бизнеса;</w:t>
      </w:r>
    </w:p>
    <w:p>
      <w:pPr>
        <w:pStyle w:val="0"/>
        <w:spacing w:before="200" w:lineRule="auto"/>
        <w:ind w:firstLine="540"/>
        <w:jc w:val="both"/>
      </w:pPr>
      <w:r>
        <w:rPr>
          <w:sz w:val="20"/>
        </w:rPr>
        <w:t xml:space="preserve">регуляторные риски, связанные с необходимостью внесения изменений в законодательство Российской Федерации и нормативные правовые акты, регулирующие деятельность строительной отрасли и жилищно-коммунального хозяйства.</w:t>
      </w:r>
    </w:p>
    <w:p>
      <w:pPr>
        <w:pStyle w:val="0"/>
        <w:spacing w:before="200" w:lineRule="auto"/>
        <w:ind w:firstLine="540"/>
        <w:jc w:val="both"/>
      </w:pPr>
      <w:r>
        <w:rPr>
          <w:sz w:val="20"/>
        </w:rPr>
        <w:t xml:space="preserve">демографические риски, сопряженные с динамикой роста населения страны, продолжением оттока населения из малых и средних населенных пунктов;</w:t>
      </w:r>
    </w:p>
    <w:p>
      <w:pPr>
        <w:pStyle w:val="0"/>
        <w:spacing w:before="200" w:lineRule="auto"/>
        <w:ind w:firstLine="540"/>
        <w:jc w:val="both"/>
      </w:pPr>
      <w:r>
        <w:rPr>
          <w:sz w:val="20"/>
        </w:rPr>
        <w:t xml:space="preserve">рыночные риски, связанные с изменениями в структуре доходов граждан и падением спроса. В случае реализации рисков и снижения спроса на новое жилье будут рассмотрены дополнительные меры поддержки, в том числе стимулирование ипотеки как механизма поддержки спроса в каждом регионе;</w:t>
      </w:r>
    </w:p>
    <w:p>
      <w:pPr>
        <w:pStyle w:val="0"/>
        <w:spacing w:before="200" w:lineRule="auto"/>
        <w:ind w:firstLine="540"/>
        <w:jc w:val="both"/>
      </w:pPr>
      <w:r>
        <w:rPr>
          <w:sz w:val="20"/>
        </w:rPr>
        <w:t xml:space="preserve">риски, связанные с неблагоприятной динамикой процентных ставок в экономике, которые оказывают влияние на доступность заемного финансирования и ипотечных продуктов. Уровень процентных ставок в экономике определяется значением ключевой ставки. Длительное сохранение ключевой ставки на высоком уровне увеличивает расходы бюджета по действующим программам государственной поддержки жилищного строительства, а также увеличивает затраты застройщиков на привлечение проектного финансирования;</w:t>
      </w:r>
    </w:p>
    <w:p>
      <w:pPr>
        <w:pStyle w:val="0"/>
        <w:spacing w:before="200" w:lineRule="auto"/>
        <w:ind w:firstLine="540"/>
        <w:jc w:val="both"/>
      </w:pPr>
      <w:r>
        <w:rPr>
          <w:sz w:val="20"/>
        </w:rPr>
        <w:t xml:space="preserve">риски нехватки ресурсов для финансирования строительства жилья. Такие риски могут возникнуть в случае, если потребности в проектном финансировании долевого строительства жилья и ипотечном кредитовании участников долевого строительства существенно превысят возможности банковской системы, определяющиеся перспективной динамикой совокупных активов и собственных средств банковской системы;</w:t>
      </w:r>
    </w:p>
    <w:p>
      <w:pPr>
        <w:pStyle w:val="0"/>
        <w:spacing w:before="200" w:lineRule="auto"/>
        <w:ind w:firstLine="540"/>
        <w:jc w:val="both"/>
      </w:pPr>
      <w:r>
        <w:rPr>
          <w:sz w:val="20"/>
        </w:rPr>
        <w:t xml:space="preserve">технологические риски, связанные с ограничением поставок, сокращением (прекращением) деятельности на российском рынке иностранных компаний - поставщиков строительных материалов, машин, оборудования, включая оборудование, используемое при производстве строительных ресурсов, а также иностранных IT-компаний, обеспечивающих поставку, эксплуатацию и техническую поддержку оборудования, программно-аппаратных комплексов и программного обеспечения для всех этапов жизненного цикла объектов капитального строительства и объектов жилищно-коммунального хозяйства;</w:t>
      </w:r>
    </w:p>
    <w:p>
      <w:pPr>
        <w:pStyle w:val="0"/>
        <w:spacing w:before="200" w:lineRule="auto"/>
        <w:ind w:firstLine="540"/>
        <w:jc w:val="both"/>
      </w:pPr>
      <w:r>
        <w:rPr>
          <w:sz w:val="20"/>
        </w:rPr>
        <w:t xml:space="preserve">риск существенного отклонения фактических значений макроэкономических показателей в период реализации Стратегии от значений, предусмотренных среднесрочным и долгосрочным макроэкономическими прогнозами Министерства экономического развития Российской Федерации. Реализация этого риска окажет влияние на отклонение фактических показателей Стратегии от целевых.</w:t>
      </w:r>
    </w:p>
    <w:p>
      <w:pPr>
        <w:pStyle w:val="0"/>
        <w:jc w:val="both"/>
      </w:pPr>
      <w:r>
        <w:rPr>
          <w:sz w:val="20"/>
        </w:rPr>
      </w:r>
    </w:p>
    <w:p>
      <w:pPr>
        <w:pStyle w:val="2"/>
        <w:outlineLvl w:val="2"/>
        <w:jc w:val="center"/>
      </w:pPr>
      <w:r>
        <w:rPr>
          <w:sz w:val="20"/>
        </w:rPr>
        <w:t xml:space="preserve">Вызовы, связанные с действием временных негативных факторов,</w:t>
      </w:r>
    </w:p>
    <w:p>
      <w:pPr>
        <w:pStyle w:val="2"/>
        <w:jc w:val="center"/>
      </w:pPr>
      <w:r>
        <w:rPr>
          <w:sz w:val="20"/>
        </w:rPr>
        <w:t xml:space="preserve">в том числе внешних</w:t>
      </w:r>
    </w:p>
    <w:p>
      <w:pPr>
        <w:pStyle w:val="0"/>
        <w:jc w:val="both"/>
      </w:pPr>
      <w:r>
        <w:rPr>
          <w:sz w:val="20"/>
        </w:rPr>
      </w:r>
    </w:p>
    <w:p>
      <w:pPr>
        <w:pStyle w:val="0"/>
        <w:ind w:firstLine="540"/>
        <w:jc w:val="both"/>
      </w:pPr>
      <w:r>
        <w:rPr>
          <w:sz w:val="20"/>
        </w:rPr>
        <w:t xml:space="preserve">С февраля 2022 г. наблюдаются существенные изменения экономических условий - ухудшение рыночной конъюнктуры, высокая волатильность на финансовом рынке и резкие колебания курса национальной валюты, вызванные в том числе внешнеполитическими обстоятельствами. Вместе с тем существенное влияние оказывают торговые, транспортные и технологические ограничения, вызванные введением санкций. Применительно к отраслям строительства и жилищно-коммунального хозяйства следствием указанных обстоятельств являются дефицит строительных ресурсов и оборудования импортного производства, существенный рост стоимости ресурсов (в том числе строительных материалов, топлива), дефицит кадров, нарушение логистических цепочек, а также сокращение спроса на новое строительство ввиду снижения доступности ипотеки и сокращения доходов граждан.</w:t>
      </w:r>
    </w:p>
    <w:p>
      <w:pPr>
        <w:pStyle w:val="0"/>
        <w:spacing w:before="200" w:lineRule="auto"/>
        <w:ind w:firstLine="540"/>
        <w:jc w:val="both"/>
      </w:pPr>
      <w:r>
        <w:rPr>
          <w:sz w:val="20"/>
        </w:rPr>
        <w:t xml:space="preserve">В текущих условиях, а также при возникновении аналогичных факторов в период реализации Стратегии возрастают риски сокращения объемов нового строительства, снижения финансовой устойчивости строительных организаций и организаций сферы жилищно-коммунального хозяйства, неисполнения инвестиционных и производственных программ.</w:t>
      </w:r>
    </w:p>
    <w:p>
      <w:pPr>
        <w:pStyle w:val="0"/>
        <w:spacing w:before="200" w:lineRule="auto"/>
        <w:ind w:firstLine="540"/>
        <w:jc w:val="both"/>
      </w:pPr>
      <w:r>
        <w:rPr>
          <w:sz w:val="20"/>
        </w:rPr>
        <w:t xml:space="preserve">К первой группе вызовов относятся:</w:t>
      </w:r>
    </w:p>
    <w:p>
      <w:pPr>
        <w:pStyle w:val="0"/>
        <w:spacing w:before="200" w:lineRule="auto"/>
        <w:ind w:firstLine="540"/>
        <w:jc w:val="both"/>
      </w:pPr>
      <w:r>
        <w:rPr>
          <w:sz w:val="20"/>
        </w:rPr>
        <w:t xml:space="preserve">сокращение спроса на жилье;</w:t>
      </w:r>
    </w:p>
    <w:p>
      <w:pPr>
        <w:pStyle w:val="0"/>
        <w:spacing w:before="200" w:lineRule="auto"/>
        <w:ind w:firstLine="540"/>
        <w:jc w:val="both"/>
      </w:pPr>
      <w:r>
        <w:rPr>
          <w:sz w:val="20"/>
        </w:rPr>
        <w:t xml:space="preserve">снижение объемов частных инвестиций в жилищное строительство в связи с падением реальных располагаемых доходов населения и общим спадом экономики.</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реализация льготных ипотечных программ;</w:t>
      </w:r>
    </w:p>
    <w:p>
      <w:pPr>
        <w:pStyle w:val="0"/>
        <w:spacing w:before="200" w:lineRule="auto"/>
        <w:ind w:firstLine="540"/>
        <w:jc w:val="both"/>
      </w:pPr>
      <w:r>
        <w:rPr>
          <w:sz w:val="20"/>
        </w:rPr>
        <w:t xml:space="preserve">распространение льготных ипотечных программ на строительство объектов индивидуального жилищного строительства собственными силами граждан.</w:t>
      </w:r>
    </w:p>
    <w:p>
      <w:pPr>
        <w:pStyle w:val="0"/>
        <w:spacing w:before="200" w:lineRule="auto"/>
        <w:ind w:firstLine="540"/>
        <w:jc w:val="both"/>
      </w:pPr>
      <w:r>
        <w:rPr>
          <w:sz w:val="20"/>
        </w:rPr>
        <w:t xml:space="preserve">Результатом осуществления указанных мероприятий является отсутствие существенного снижения спроса и объема частных инвестиций в жилищное строительство за счет своевременных мер поддержки.</w:t>
      </w:r>
    </w:p>
    <w:p>
      <w:pPr>
        <w:pStyle w:val="0"/>
        <w:spacing w:before="200" w:lineRule="auto"/>
        <w:ind w:firstLine="540"/>
        <w:jc w:val="both"/>
      </w:pPr>
      <w:r>
        <w:rPr>
          <w:sz w:val="20"/>
        </w:rPr>
        <w:t xml:space="preserve">Ко второй группе вызовов относятся:</w:t>
      </w:r>
    </w:p>
    <w:p>
      <w:pPr>
        <w:pStyle w:val="0"/>
        <w:spacing w:before="200" w:lineRule="auto"/>
        <w:ind w:firstLine="540"/>
        <w:jc w:val="both"/>
      </w:pPr>
      <w:r>
        <w:rPr>
          <w:sz w:val="20"/>
        </w:rPr>
        <w:t xml:space="preserve">замедление темпов и сокращение объемов жилищного строительства;</w:t>
      </w:r>
    </w:p>
    <w:p>
      <w:pPr>
        <w:pStyle w:val="0"/>
        <w:spacing w:before="200" w:lineRule="auto"/>
        <w:ind w:firstLine="540"/>
        <w:jc w:val="both"/>
      </w:pPr>
      <w:r>
        <w:rPr>
          <w:sz w:val="20"/>
        </w:rPr>
        <w:t xml:space="preserve">снижение темпов обновления систем коммунальной инфраструктуры, вызванное в том числе ростом стоимости строительных материалов и услуг в связи с введенными ограничениями.</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реализация программ поддержки жилищного строительства, в том числе программы поддержки низкомаржинальных проектов жилищного строительства, программы стимулирования жилищного строительства;</w:t>
      </w:r>
    </w:p>
    <w:p>
      <w:pPr>
        <w:pStyle w:val="0"/>
        <w:spacing w:before="200" w:lineRule="auto"/>
        <w:ind w:firstLine="540"/>
        <w:jc w:val="both"/>
      </w:pPr>
      <w:r>
        <w:rPr>
          <w:sz w:val="20"/>
        </w:rPr>
        <w:t xml:space="preserve">запуск 5-летней программы модернизации коммунальной инфраструктуры;</w:t>
      </w:r>
    </w:p>
    <w:p>
      <w:pPr>
        <w:pStyle w:val="0"/>
        <w:spacing w:before="200" w:lineRule="auto"/>
        <w:ind w:firstLine="540"/>
        <w:jc w:val="both"/>
      </w:pPr>
      <w:r>
        <w:rPr>
          <w:sz w:val="20"/>
        </w:rPr>
        <w:t xml:space="preserve">упрощение процедур предоставления финансирования публично-правовой компанией "Фонд развития территорий" проектов по модернизации коммунальной инфраструктуры за счет средств Фонда национального благосостояния;</w:t>
      </w:r>
    </w:p>
    <w:p>
      <w:pPr>
        <w:pStyle w:val="0"/>
        <w:jc w:val="both"/>
      </w:pPr>
      <w:r>
        <w:rPr>
          <w:sz w:val="20"/>
        </w:rPr>
        <w:t xml:space="preserve">(в ред. </w:t>
      </w:r>
      <w:r>
        <w:rPr>
          <w:sz w:val="20"/>
        </w:rPr>
        <w:t xml:space="preserve">Постановления</w:t>
      </w:r>
      <w:r>
        <w:rPr>
          <w:sz w:val="20"/>
        </w:rPr>
        <w:t xml:space="preserve"> Правительства РФ от 20.09.2023 N 1529)</w:t>
      </w:r>
    </w:p>
    <w:p>
      <w:pPr>
        <w:pStyle w:val="0"/>
        <w:spacing w:before="200" w:lineRule="auto"/>
        <w:ind w:firstLine="540"/>
        <w:jc w:val="both"/>
      </w:pPr>
      <w:r>
        <w:rPr>
          <w:sz w:val="20"/>
        </w:rPr>
        <w:t xml:space="preserve">временное упрощение процедур таможенного оформления импортируемой продукции и установление приоритета при таможенном оформлении оборудования, комплектующих и запасных частей на российских железных дорогах и пунктах пропуска и портах;</w:t>
      </w:r>
    </w:p>
    <w:p>
      <w:pPr>
        <w:pStyle w:val="0"/>
        <w:spacing w:before="200" w:lineRule="auto"/>
        <w:ind w:firstLine="540"/>
        <w:jc w:val="both"/>
      </w:pPr>
      <w:r>
        <w:rPr>
          <w:sz w:val="20"/>
        </w:rPr>
        <w:t xml:space="preserve">формирование перечня критически важных импортируемых товаров;</w:t>
      </w:r>
    </w:p>
    <w:p>
      <w:pPr>
        <w:pStyle w:val="0"/>
        <w:spacing w:before="200" w:lineRule="auto"/>
        <w:ind w:firstLine="540"/>
        <w:jc w:val="both"/>
      </w:pPr>
      <w:r>
        <w:rPr>
          <w:sz w:val="20"/>
        </w:rPr>
        <w:t xml:space="preserve">переориентация импорта строительных материалов, строительных машин, оборудования, в том числе для производства строительных материалов, локализация производства на территории Российской Федерации;</w:t>
      </w:r>
    </w:p>
    <w:p>
      <w:pPr>
        <w:pStyle w:val="0"/>
        <w:spacing w:before="200" w:lineRule="auto"/>
        <w:ind w:firstLine="540"/>
        <w:jc w:val="both"/>
      </w:pPr>
      <w:r>
        <w:rPr>
          <w:sz w:val="20"/>
        </w:rPr>
        <w:t xml:space="preserve">формирование новых логистических цепочек поставок, транспортных коридоров;</w:t>
      </w:r>
    </w:p>
    <w:p>
      <w:pPr>
        <w:pStyle w:val="0"/>
        <w:spacing w:before="200" w:lineRule="auto"/>
        <w:ind w:firstLine="540"/>
        <w:jc w:val="both"/>
      </w:pPr>
      <w:r>
        <w:rPr>
          <w:sz w:val="20"/>
        </w:rPr>
        <w:t xml:space="preserve">импортозамещение строительных материалов, изделий, конструкций, инженерного и технологического оборудования, а также комплектующих и запасных частей для строительных машин и оборудования.</w:t>
      </w:r>
    </w:p>
    <w:p>
      <w:pPr>
        <w:pStyle w:val="0"/>
        <w:spacing w:before="200" w:lineRule="auto"/>
        <w:ind w:firstLine="540"/>
        <w:jc w:val="both"/>
      </w:pPr>
      <w:r>
        <w:rPr>
          <w:sz w:val="20"/>
        </w:rPr>
        <w:t xml:space="preserve">Результатами осуществления указанных мероприятий являются:</w:t>
      </w:r>
    </w:p>
    <w:p>
      <w:pPr>
        <w:pStyle w:val="0"/>
        <w:spacing w:before="200" w:lineRule="auto"/>
        <w:ind w:firstLine="540"/>
        <w:jc w:val="both"/>
      </w:pPr>
      <w:r>
        <w:rPr>
          <w:sz w:val="20"/>
        </w:rPr>
        <w:t xml:space="preserve">не допущены замедление темпов и сокращение объемов жилищного строительства, а также снижение темпов обновления систем коммунальной инфраструктуры;</w:t>
      </w:r>
    </w:p>
    <w:p>
      <w:pPr>
        <w:pStyle w:val="0"/>
        <w:spacing w:before="200" w:lineRule="auto"/>
        <w:ind w:firstLine="540"/>
        <w:jc w:val="both"/>
      </w:pPr>
      <w:r>
        <w:rPr>
          <w:sz w:val="20"/>
        </w:rPr>
        <w:t xml:space="preserve">обеспечена финансовая устойчивость и платежеспособность организаций строительного комплекса и жилищно-коммунального хозяйства.</w:t>
      </w:r>
    </w:p>
    <w:p>
      <w:pPr>
        <w:pStyle w:val="0"/>
        <w:spacing w:before="200" w:lineRule="auto"/>
        <w:ind w:firstLine="540"/>
        <w:jc w:val="both"/>
      </w:pPr>
      <w:r>
        <w:rPr>
          <w:sz w:val="20"/>
        </w:rPr>
        <w:t xml:space="preserve">К третьей группе вызовов относится существующий алгоритм прохождения обязательных административных процедур в сфере градостроительства, который негативно сказывается на темпах строительства в условиях, когда важно обеспечить ускоренный выход на строительную площадку.</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существенное упрощение и сокращение сроков подготовки земельных участков для строительства на период действия негативных факторов;</w:t>
      </w:r>
    </w:p>
    <w:p>
      <w:pPr>
        <w:pStyle w:val="0"/>
        <w:spacing w:before="200" w:lineRule="auto"/>
        <w:ind w:firstLine="540"/>
        <w:jc w:val="both"/>
      </w:pPr>
      <w:r>
        <w:rPr>
          <w:sz w:val="20"/>
        </w:rPr>
        <w:t xml:space="preserve">сокращение до 1 месяца срока согласования с федеральными органами исполнительной власти генеральных планов городских округов и поселений и внесения изменений в них, проведение публичных слушаний по указанным документам территориального планирования только в тех населенных пунктах, на которые эти изменения распространяются;</w:t>
      </w:r>
    </w:p>
    <w:p>
      <w:pPr>
        <w:pStyle w:val="0"/>
        <w:spacing w:before="200" w:lineRule="auto"/>
        <w:ind w:firstLine="540"/>
        <w:jc w:val="both"/>
      </w:pPr>
      <w:r>
        <w:rPr>
          <w:sz w:val="20"/>
        </w:rPr>
        <w:t xml:space="preserve">установление особенностей и случаев проведения государственной экспертизы проектной документации, в том числе в части оценки соответствия требованиям в области охраны окружающей среды и охраны объектов культурного наследия без дополнительного проведения соответствующих экспертиз, достоверности определения сметной стоимости в отношении отдельных объектов, стоимость которых не превышает определенную сумму;</w:t>
      </w:r>
    </w:p>
    <w:p>
      <w:pPr>
        <w:pStyle w:val="0"/>
        <w:spacing w:before="200" w:lineRule="auto"/>
        <w:ind w:firstLine="540"/>
        <w:jc w:val="both"/>
      </w:pPr>
      <w:r>
        <w:rPr>
          <w:sz w:val="20"/>
        </w:rPr>
        <w:t xml:space="preserve">установление отдельных особенностей градостроительной деятельности, предусматривающих в том числе продление сроков действия разрешительной документации, а также упрощение порядка строительства инфраструктурных объектов;</w:t>
      </w:r>
    </w:p>
    <w:p>
      <w:pPr>
        <w:pStyle w:val="0"/>
        <w:spacing w:before="200" w:lineRule="auto"/>
        <w:ind w:firstLine="540"/>
        <w:jc w:val="both"/>
      </w:pPr>
      <w:r>
        <w:rPr>
          <w:sz w:val="20"/>
        </w:rPr>
        <w:t xml:space="preserve">сокращение обязательных требований, применяемых в строительстве в соответствии с техническим регламентом (перевод обязательных требований в добровольные).</w:t>
      </w:r>
    </w:p>
    <w:p>
      <w:pPr>
        <w:pStyle w:val="0"/>
        <w:spacing w:before="200" w:lineRule="auto"/>
        <w:ind w:firstLine="540"/>
        <w:jc w:val="both"/>
      </w:pPr>
      <w:r>
        <w:rPr>
          <w:sz w:val="20"/>
        </w:rPr>
        <w:t xml:space="preserve">Результатом осуществления указанных мероприятий является повышение инвестиционной привлекательности и рентабельности инвестиционных проектов в сфере строительства за счет снижения административной нагрузки.</w:t>
      </w:r>
    </w:p>
    <w:p>
      <w:pPr>
        <w:pStyle w:val="0"/>
        <w:spacing w:before="200" w:lineRule="auto"/>
        <w:ind w:firstLine="540"/>
        <w:jc w:val="both"/>
      </w:pPr>
      <w:r>
        <w:rPr>
          <w:sz w:val="20"/>
        </w:rPr>
        <w:t xml:space="preserve">К четвертой группе вызовов относится снижение эффективности государственных капитальных вложений в связи с недостаточностью в порядке управления капитальными вложениями инструментов реагирования на действие внешних негативных факторов.</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формирование комплексной государственной </w:t>
      </w:r>
      <w:r>
        <w:rPr>
          <w:sz w:val="20"/>
        </w:rPr>
        <w:t xml:space="preserve">программы</w:t>
      </w:r>
      <w:r>
        <w:rPr>
          <w:sz w:val="20"/>
        </w:rPr>
        <w:t xml:space="preserve"> Российской Федерации "Строительство";</w:t>
      </w:r>
    </w:p>
    <w:p>
      <w:pPr>
        <w:pStyle w:val="0"/>
        <w:spacing w:before="200" w:lineRule="auto"/>
        <w:ind w:firstLine="540"/>
        <w:jc w:val="both"/>
      </w:pPr>
      <w:r>
        <w:rPr>
          <w:sz w:val="20"/>
        </w:rPr>
        <w:t xml:space="preserve">первоочередное финансирование объектов капитального строительства, включенных в комплексную государственную </w:t>
      </w:r>
      <w:r>
        <w:rPr>
          <w:sz w:val="20"/>
        </w:rPr>
        <w:t xml:space="preserve">программу</w:t>
      </w:r>
      <w:r>
        <w:rPr>
          <w:sz w:val="20"/>
        </w:rPr>
        <w:t xml:space="preserve"> Российской Федерации "Строительство" (с учетом действующих и принимаемых обязательств), предусмотренных национальными проектами, в целях своевременного заключения государственных контрактов и исполнения национальных проектов в 2022 - 2024 годах;</w:t>
      </w:r>
    </w:p>
    <w:p>
      <w:pPr>
        <w:pStyle w:val="0"/>
        <w:spacing w:before="200" w:lineRule="auto"/>
        <w:ind w:firstLine="540"/>
        <w:jc w:val="both"/>
      </w:pPr>
      <w:r>
        <w:rPr>
          <w:sz w:val="20"/>
        </w:rPr>
        <w:t xml:space="preserve">упрощение и ускорение расчетов за поставленные товары, в том числе стройматериалы, при казначейском сопровождении государственных (муниципальных) контрактов (договоров, соглашений);</w:t>
      </w:r>
    </w:p>
    <w:p>
      <w:pPr>
        <w:pStyle w:val="0"/>
        <w:spacing w:before="200" w:lineRule="auto"/>
        <w:ind w:firstLine="540"/>
        <w:jc w:val="both"/>
      </w:pPr>
      <w:r>
        <w:rPr>
          <w:sz w:val="20"/>
        </w:rPr>
        <w:t xml:space="preserve">мораторий на запросы информации и проверки (за исключением проводимых в соответствии с законодательством Российской Федерации проверок в рамках контроля, налоговых и валютных проверок) в отношении государственных заказчиков и главных распорядителей бюджетных средств;</w:t>
      </w:r>
    </w:p>
    <w:p>
      <w:pPr>
        <w:pStyle w:val="0"/>
        <w:spacing w:before="200" w:lineRule="auto"/>
        <w:ind w:firstLine="540"/>
        <w:jc w:val="both"/>
      </w:pPr>
      <w:r>
        <w:rPr>
          <w:sz w:val="20"/>
        </w:rPr>
        <w:t xml:space="preserve">перенос на 1 января 2023 г. перехода на применение ресурсно-индексного метода определения сметной стоимости строительства.</w:t>
      </w:r>
    </w:p>
    <w:p>
      <w:pPr>
        <w:pStyle w:val="0"/>
        <w:spacing w:before="200" w:lineRule="auto"/>
        <w:ind w:firstLine="540"/>
        <w:jc w:val="both"/>
      </w:pPr>
      <w:r>
        <w:rPr>
          <w:sz w:val="20"/>
        </w:rPr>
        <w:t xml:space="preserve">Результатом осуществления указанных мероприятий является повышение эффективности государственных капитальных вложений в условиях внешнего санкционного давления за счет обеспечения гибкости и оперативности системы управления капитальными вложениями.</w:t>
      </w:r>
    </w:p>
    <w:p>
      <w:pPr>
        <w:pStyle w:val="0"/>
        <w:spacing w:before="200" w:lineRule="auto"/>
        <w:ind w:firstLine="540"/>
        <w:jc w:val="both"/>
      </w:pPr>
      <w:r>
        <w:rPr>
          <w:sz w:val="20"/>
        </w:rPr>
        <w:t xml:space="preserve">К пятой группе вызовов относится замедление процесса развития и модернизации отраслевых информационных систем в связи с недоступностью IT-товаров, программно-аппаратных комплексов и программного обеспечения для всех этапов жизненного цикла объектов капитального строительства и объектов жилищно-коммунального хозяйства.</w:t>
      </w:r>
    </w:p>
    <w:p>
      <w:pPr>
        <w:pStyle w:val="0"/>
        <w:spacing w:before="200" w:lineRule="auto"/>
        <w:ind w:firstLine="540"/>
        <w:jc w:val="both"/>
      </w:pPr>
      <w:r>
        <w:rPr>
          <w:sz w:val="20"/>
        </w:rPr>
        <w:t xml:space="preserve">Предусмотрены мероприятия по поддержке разработки отечественных решений для всех участников и этапов жизненного цикла объекта капитального строительства с применением технологий информационного моделирования и цифрового взаимодействия всех участников.</w:t>
      </w:r>
    </w:p>
    <w:p>
      <w:pPr>
        <w:pStyle w:val="0"/>
        <w:spacing w:before="200" w:lineRule="auto"/>
        <w:ind w:firstLine="540"/>
        <w:jc w:val="both"/>
      </w:pPr>
      <w:r>
        <w:rPr>
          <w:sz w:val="20"/>
        </w:rPr>
        <w:t xml:space="preserve">Результатом осуществления указанных мероприятий является сохранение темпов развития и модернизации отраслевых информационных систем.</w:t>
      </w:r>
    </w:p>
    <w:p>
      <w:pPr>
        <w:pStyle w:val="0"/>
        <w:jc w:val="both"/>
      </w:pPr>
      <w:r>
        <w:rPr>
          <w:sz w:val="20"/>
        </w:rPr>
      </w:r>
    </w:p>
    <w:p>
      <w:pPr>
        <w:pStyle w:val="2"/>
        <w:outlineLvl w:val="2"/>
        <w:jc w:val="center"/>
      </w:pPr>
      <w:r>
        <w:rPr>
          <w:sz w:val="20"/>
        </w:rPr>
        <w:t xml:space="preserve">Рисковый сценарий реализации Стратегии</w:t>
      </w:r>
    </w:p>
    <w:p>
      <w:pPr>
        <w:pStyle w:val="0"/>
        <w:jc w:val="both"/>
      </w:pPr>
      <w:r>
        <w:rPr>
          <w:sz w:val="20"/>
        </w:rPr>
      </w:r>
    </w:p>
    <w:p>
      <w:pPr>
        <w:pStyle w:val="0"/>
        <w:ind w:firstLine="540"/>
        <w:jc w:val="both"/>
      </w:pPr>
      <w:r>
        <w:rPr>
          <w:sz w:val="20"/>
        </w:rPr>
        <w:t xml:space="preserve">Рисковый сценарий реализации Стратегии предполагает сохранение с учетом инфляции текущего уровня финансового обеспечения строительной отрасли, доступность строительных и трудовых ресурсов, увеличение спроса на жилищное строительство, положительную динамику жилищного, промышленного и инфраструктурного строительства.</w:t>
      </w:r>
    </w:p>
    <w:p>
      <w:pPr>
        <w:pStyle w:val="0"/>
        <w:spacing w:before="200" w:lineRule="auto"/>
        <w:ind w:firstLine="540"/>
        <w:jc w:val="both"/>
      </w:pPr>
      <w:r>
        <w:rPr>
          <w:sz w:val="20"/>
        </w:rPr>
        <w:t xml:space="preserve">Кроме того, рисковый сценарий предполагает экстенсивный рост строительной отрасли, умеренный рост производительности труда, обеспечение роста добавленной стоимости в большей степени за счет притока трудовых ресурсов в отрасль.</w:t>
      </w:r>
    </w:p>
    <w:p>
      <w:pPr>
        <w:pStyle w:val="0"/>
        <w:spacing w:before="200" w:lineRule="auto"/>
        <w:ind w:firstLine="540"/>
        <w:jc w:val="both"/>
      </w:pPr>
      <w:r>
        <w:rPr>
          <w:sz w:val="20"/>
        </w:rPr>
        <w:t xml:space="preserve">Рост инвестиций в основной капитал в рисковом сценарии предполагает необходимость обеспечения новых работников средствами производства, включая машины и оборудование. При этом в рисковом сценарии не предполагается значительное замещение труда капиталом.</w:t>
      </w:r>
    </w:p>
    <w:p>
      <w:pPr>
        <w:pStyle w:val="0"/>
        <w:spacing w:before="200" w:lineRule="auto"/>
        <w:ind w:firstLine="540"/>
        <w:jc w:val="both"/>
      </w:pPr>
      <w:r>
        <w:rPr>
          <w:sz w:val="20"/>
        </w:rPr>
        <w:t xml:space="preserve">В части развития жилищно-коммунального хозяйства рассматриваемый сценарий предусматривает комплексную реализацию мероприятий по модернизации объектов жилищного фонда, коммунальных систем, ликвидации накопленного износа и аварийного состояния объектов жилищно-коммунальной инфраструктуры, а также достижение высокого уровня качества и технологической доступности коммунальных и жилищных услуг.</w:t>
      </w:r>
    </w:p>
    <w:p>
      <w:pPr>
        <w:pStyle w:val="0"/>
        <w:jc w:val="both"/>
      </w:pPr>
      <w:r>
        <w:rPr>
          <w:sz w:val="20"/>
        </w:rPr>
      </w:r>
    </w:p>
    <w:p>
      <w:pPr>
        <w:pStyle w:val="2"/>
        <w:outlineLvl w:val="2"/>
        <w:jc w:val="center"/>
      </w:pPr>
      <w:r>
        <w:rPr>
          <w:sz w:val="20"/>
        </w:rPr>
        <w:t xml:space="preserve">Базовый сценарий реализации Стратегии</w:t>
      </w:r>
    </w:p>
    <w:p>
      <w:pPr>
        <w:pStyle w:val="0"/>
        <w:jc w:val="both"/>
      </w:pPr>
      <w:r>
        <w:rPr>
          <w:sz w:val="20"/>
        </w:rPr>
      </w:r>
    </w:p>
    <w:p>
      <w:pPr>
        <w:pStyle w:val="0"/>
        <w:ind w:firstLine="540"/>
        <w:jc w:val="both"/>
      </w:pPr>
      <w:r>
        <w:rPr>
          <w:sz w:val="20"/>
        </w:rPr>
        <w:t xml:space="preserve">Базовый сценарий реализации Стратегии предусматривает опережающий рост спроса и динамики жилищного, промышленного и инфраструктурного строительства, повышение уровня конкурентоспособности строительной отрасли и жилищно-коммунального хозяйства, улучшение макроэкономического климата, рост реальных располагаемых доходов населения и демографических показателей.</w:t>
      </w:r>
    </w:p>
    <w:p>
      <w:pPr>
        <w:pStyle w:val="0"/>
        <w:spacing w:before="200" w:lineRule="auto"/>
        <w:ind w:firstLine="540"/>
        <w:jc w:val="both"/>
      </w:pPr>
      <w:r>
        <w:rPr>
          <w:sz w:val="20"/>
        </w:rPr>
        <w:t xml:space="preserve">Сценарий предполагает восстановление процессов снабжения строительными ресурсами, в том числе за счет оперативной переориентации импорта, запуска процессов импортозамещения и локализации производств на территории Российской Федерации, ускоренную оптимизацию разрешительных процедур и обязательных требований в строительстве, выделение дополнительных средств на программы поддержки застройщиков, в том числе проблемных объектов, программы льготного ипотечного кредитования, увеличение финансирования программ модернизации жилищно-коммунального хозяйства и привлечение средств Фонда национального благосостояния.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Стратегии развития строительной</w:t>
      </w:r>
    </w:p>
    <w:p>
      <w:pPr>
        <w:pStyle w:val="0"/>
        <w:jc w:val="right"/>
      </w:pPr>
      <w:r>
        <w:rPr>
          <w:sz w:val="20"/>
        </w:rPr>
        <w:t xml:space="preserve">отрасли и жилищно-коммунального</w:t>
      </w:r>
    </w:p>
    <w:p>
      <w:pPr>
        <w:pStyle w:val="0"/>
        <w:jc w:val="right"/>
      </w:pPr>
      <w:r>
        <w:rPr>
          <w:sz w:val="20"/>
        </w:rPr>
        <w:t xml:space="preserve">хозяйства Российской Федерации</w:t>
      </w:r>
    </w:p>
    <w:p>
      <w:pPr>
        <w:pStyle w:val="0"/>
        <w:jc w:val="right"/>
      </w:pPr>
      <w:r>
        <w:rPr>
          <w:sz w:val="20"/>
        </w:rPr>
        <w:t xml:space="preserve">на период до 2030 года с прогнозом</w:t>
      </w:r>
    </w:p>
    <w:p>
      <w:pPr>
        <w:pStyle w:val="0"/>
        <w:jc w:val="right"/>
      </w:pPr>
      <w:r>
        <w:rPr>
          <w:sz w:val="20"/>
        </w:rPr>
        <w:t xml:space="preserve">до 2035 года</w:t>
      </w:r>
    </w:p>
    <w:p>
      <w:pPr>
        <w:pStyle w:val="0"/>
        <w:jc w:val="both"/>
      </w:pPr>
      <w:r>
        <w:rPr>
          <w:sz w:val="20"/>
        </w:rPr>
      </w:r>
    </w:p>
    <w:p>
      <w:pPr>
        <w:pStyle w:val="2"/>
        <w:jc w:val="center"/>
      </w:pPr>
      <w:r>
        <w:rPr>
          <w:sz w:val="20"/>
        </w:rPr>
        <w:t xml:space="preserve">ПОКАЗАТЕЛИ</w:t>
      </w:r>
    </w:p>
    <w:p>
      <w:pPr>
        <w:pStyle w:val="2"/>
        <w:jc w:val="center"/>
      </w:pPr>
      <w:r>
        <w:rPr>
          <w:sz w:val="20"/>
        </w:rPr>
        <w:t xml:space="preserve">РАЗВИТИЯ ОТРАСЛЕЙ СТРОИТЕЛЬСТВА И ЖИЛИЩНО-КОММУНАЛЬНОГО</w:t>
      </w:r>
    </w:p>
    <w:p>
      <w:pPr>
        <w:pStyle w:val="2"/>
        <w:jc w:val="center"/>
      </w:pPr>
      <w:r>
        <w:rPr>
          <w:sz w:val="20"/>
        </w:rPr>
        <w:t xml:space="preserve">ХОЗЯЙСТВА </w:t>
      </w:r>
      <w:r>
        <w:rPr>
          <w:sz w:val="20"/>
        </w:rPr>
        <w:t xml:space="preserve">&lt;*&gt;</w:t>
      </w:r>
    </w:p>
    <w:p>
      <w:pPr>
        <w:pStyle w:val="0"/>
        <w:jc w:val="both"/>
      </w:pPr>
      <w:r>
        <w:rPr>
          <w:sz w:val="20"/>
        </w:rPr>
      </w:r>
    </w:p>
    <w:p>
      <w:pPr>
        <w:pStyle w:val="0"/>
        <w:jc w:val="center"/>
      </w:pPr>
      <w:r>
        <w:rPr>
          <w:sz w:val="20"/>
        </w:rPr>
        <w:t xml:space="preserve">"Р" - рисковый сценарий реализации Стратегии;</w:t>
      </w:r>
    </w:p>
    <w:p>
      <w:pPr>
        <w:pStyle w:val="0"/>
        <w:jc w:val="center"/>
      </w:pPr>
      <w:r>
        <w:rPr>
          <w:sz w:val="20"/>
        </w:rPr>
        <w:t xml:space="preserve">"Б" - базовый сценарий реализации Стратегии</w:t>
      </w:r>
    </w:p>
    <w:p>
      <w:pPr>
        <w:pStyle w:val="0"/>
        <w:jc w:val="both"/>
      </w:pPr>
      <w:r>
        <w:rPr>
          <w:sz w:val="20"/>
        </w:rPr>
      </w:r>
    </w:p>
    <w:p>
      <w:pPr>
        <w:sectPr>
          <w:headerReference w:type="default" r:id="rId3"/>
          <w:headerReference w:type="first" r:id="rId3"/>
          <w:footerReference w:type="default" r:id="rId4"/>
          <w:footerReference w:type="first" r:id="rId4"/>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94"/>
        <w:gridCol w:w="3798"/>
        <w:gridCol w:w="1303"/>
        <w:gridCol w:w="793"/>
        <w:gridCol w:w="907"/>
        <w:gridCol w:w="907"/>
        <w:gridCol w:w="907"/>
        <w:gridCol w:w="907"/>
        <w:gridCol w:w="1303"/>
      </w:tblGrid>
      <w:tr>
        <w:tblPrEx>
          <w:tblBorders>
            <w:insideV w:val="single" w:sz="4"/>
            <w:insideH w:val="single" w:sz="4"/>
          </w:tblBorders>
        </w:tblPrEx>
        <w:tc>
          <w:tcPr>
            <w:gridSpan w:val="2"/>
            <w:tcW w:w="4592" w:type="dxa"/>
            <w:tcBorders>
              <w:top w:val="single" w:sz="4"/>
              <w:left w:val="nil"/>
              <w:bottom w:val="single" w:sz="4"/>
            </w:tcBorders>
          </w:tcPr>
          <w:p>
            <w:pPr>
              <w:pStyle w:val="0"/>
              <w:jc w:val="center"/>
            </w:pPr>
            <w:r>
              <w:rPr>
                <w:sz w:val="20"/>
              </w:rPr>
              <w:t xml:space="preserve">Наименование показателей</w:t>
            </w:r>
          </w:p>
        </w:tc>
        <w:tc>
          <w:tcPr>
            <w:tcW w:w="1303" w:type="dxa"/>
            <w:tcBorders>
              <w:top w:val="single" w:sz="4"/>
              <w:bottom w:val="single" w:sz="4"/>
            </w:tcBorders>
          </w:tcPr>
          <w:p>
            <w:pPr>
              <w:pStyle w:val="0"/>
              <w:jc w:val="center"/>
            </w:pPr>
            <w:r>
              <w:rPr>
                <w:sz w:val="20"/>
              </w:rPr>
              <w:t xml:space="preserve">Единица измерения</w:t>
            </w:r>
          </w:p>
        </w:tc>
        <w:tc>
          <w:tcPr>
            <w:tcW w:w="793" w:type="dxa"/>
            <w:tcBorders>
              <w:top w:val="single" w:sz="4"/>
              <w:bottom w:val="single" w:sz="4"/>
            </w:tcBorders>
          </w:tcPr>
          <w:p>
            <w:pPr>
              <w:pStyle w:val="0"/>
              <w:jc w:val="center"/>
            </w:pPr>
            <w:r>
              <w:rPr>
                <w:sz w:val="20"/>
              </w:rPr>
              <w:t xml:space="preserve">Сценарий</w:t>
            </w:r>
          </w:p>
        </w:tc>
        <w:tc>
          <w:tcPr>
            <w:tcW w:w="907" w:type="dxa"/>
            <w:tcBorders>
              <w:top w:val="single" w:sz="4"/>
              <w:bottom w:val="single" w:sz="4"/>
            </w:tcBorders>
          </w:tcPr>
          <w:p>
            <w:pPr>
              <w:pStyle w:val="0"/>
              <w:jc w:val="center"/>
            </w:pPr>
            <w:r>
              <w:rPr>
                <w:sz w:val="20"/>
              </w:rPr>
              <w:t xml:space="preserve">2021 год</w:t>
            </w:r>
          </w:p>
        </w:tc>
        <w:tc>
          <w:tcPr>
            <w:tcW w:w="907" w:type="dxa"/>
            <w:tcBorders>
              <w:top w:val="single" w:sz="4"/>
              <w:bottom w:val="single" w:sz="4"/>
            </w:tcBorders>
          </w:tcPr>
          <w:p>
            <w:pPr>
              <w:pStyle w:val="0"/>
              <w:jc w:val="center"/>
            </w:pPr>
            <w:r>
              <w:rPr>
                <w:sz w:val="20"/>
              </w:rPr>
              <w:t xml:space="preserve">2024 год</w:t>
            </w:r>
          </w:p>
        </w:tc>
        <w:tc>
          <w:tcPr>
            <w:tcW w:w="907" w:type="dxa"/>
            <w:tcBorders>
              <w:top w:val="single" w:sz="4"/>
              <w:bottom w:val="single" w:sz="4"/>
            </w:tcBorders>
          </w:tcPr>
          <w:p>
            <w:pPr>
              <w:pStyle w:val="0"/>
              <w:jc w:val="center"/>
            </w:pPr>
            <w:r>
              <w:rPr>
                <w:sz w:val="20"/>
              </w:rPr>
              <w:t xml:space="preserve">2030 год</w:t>
            </w:r>
          </w:p>
        </w:tc>
        <w:tc>
          <w:tcPr>
            <w:tcW w:w="907" w:type="dxa"/>
            <w:tcBorders>
              <w:top w:val="single" w:sz="4"/>
              <w:bottom w:val="single" w:sz="4"/>
            </w:tcBorders>
          </w:tcPr>
          <w:p>
            <w:pPr>
              <w:pStyle w:val="0"/>
              <w:jc w:val="center"/>
            </w:pPr>
            <w:r>
              <w:rPr>
                <w:sz w:val="20"/>
              </w:rPr>
              <w:t xml:space="preserve">2035 год</w:t>
            </w:r>
          </w:p>
        </w:tc>
        <w:tc>
          <w:tcPr>
            <w:tcW w:w="1303" w:type="dxa"/>
            <w:tcBorders>
              <w:top w:val="single" w:sz="4"/>
              <w:bottom w:val="single" w:sz="4"/>
              <w:right w:val="nil"/>
            </w:tcBorders>
          </w:tcPr>
          <w:p>
            <w:pPr>
              <w:pStyle w:val="0"/>
              <w:jc w:val="center"/>
            </w:pPr>
            <w:r>
              <w:rPr>
                <w:sz w:val="20"/>
              </w:rPr>
              <w:t xml:space="preserve">Источник</w:t>
            </w:r>
          </w:p>
        </w:tc>
      </w:tr>
      <w:tr>
        <w:tc>
          <w:tcPr>
            <w:gridSpan w:val="9"/>
            <w:tcW w:w="11619" w:type="dxa"/>
            <w:tcBorders>
              <w:top w:val="single" w:sz="4"/>
              <w:left w:val="nil"/>
              <w:bottom w:val="nil"/>
              <w:right w:val="nil"/>
            </w:tcBorders>
          </w:tcPr>
          <w:p>
            <w:pPr>
              <w:pStyle w:val="0"/>
              <w:outlineLvl w:val="2"/>
              <w:jc w:val="center"/>
            </w:pPr>
            <w:r>
              <w:rPr>
                <w:sz w:val="20"/>
              </w:rPr>
              <w:t xml:space="preserve">1. Повышение комфорта, качества и уровня жизни граждан</w:t>
            </w:r>
          </w:p>
        </w:tc>
      </w:tr>
      <w:tr>
        <w:tc>
          <w:tcPr>
            <w:gridSpan w:val="9"/>
            <w:tcW w:w="11619" w:type="dxa"/>
            <w:tcBorders>
              <w:top w:val="nil"/>
              <w:left w:val="nil"/>
              <w:bottom w:val="nil"/>
              <w:right w:val="nil"/>
            </w:tcBorders>
          </w:tcPr>
          <w:p>
            <w:pPr>
              <w:pStyle w:val="0"/>
              <w:outlineLvl w:val="3"/>
              <w:jc w:val="center"/>
            </w:pPr>
            <w:r>
              <w:rPr>
                <w:sz w:val="20"/>
              </w:rPr>
              <w:t xml:space="preserve">1.1. Новая градостроительная политика</w:t>
            </w:r>
          </w:p>
        </w:tc>
      </w:tr>
      <w:tr>
        <w:tc>
          <w:tcPr>
            <w:tcW w:w="794" w:type="dxa"/>
            <w:tcBorders>
              <w:top w:val="nil"/>
              <w:left w:val="nil"/>
              <w:bottom w:val="nil"/>
              <w:right w:val="nil"/>
            </w:tcBorders>
            <w:vMerge w:val="restart"/>
          </w:tcPr>
          <w:p>
            <w:pPr>
              <w:pStyle w:val="0"/>
              <w:jc w:val="center"/>
            </w:pPr>
            <w:r>
              <w:rPr>
                <w:sz w:val="20"/>
              </w:rPr>
              <w:t xml:space="preserve">1.1.1.</w:t>
            </w:r>
          </w:p>
        </w:tc>
        <w:tc>
          <w:tcPr>
            <w:tcW w:w="3798" w:type="dxa"/>
            <w:tcBorders>
              <w:top w:val="nil"/>
              <w:left w:val="nil"/>
              <w:bottom w:val="nil"/>
              <w:right w:val="nil"/>
            </w:tcBorders>
            <w:vMerge w:val="restart"/>
          </w:tcPr>
          <w:p>
            <w:pPr>
              <w:pStyle w:val="0"/>
            </w:pPr>
            <w:r>
              <w:rPr>
                <w:sz w:val="20"/>
              </w:rPr>
              <w:t xml:space="preserve">Градостроительный потенциал земельных участков, вовлеченных в оборот в целях жилищного строительства (с учетом действующих разрешений на строительство)</w:t>
            </w:r>
          </w:p>
        </w:tc>
        <w:tc>
          <w:tcPr>
            <w:tcW w:w="1303" w:type="dxa"/>
            <w:tcBorders>
              <w:top w:val="nil"/>
              <w:left w:val="nil"/>
              <w:bottom w:val="nil"/>
              <w:right w:val="nil"/>
            </w:tcBorders>
            <w:vMerge w:val="restart"/>
          </w:tcPr>
          <w:p>
            <w:pPr>
              <w:pStyle w:val="0"/>
              <w:jc w:val="center"/>
            </w:pPr>
            <w:r>
              <w:rPr>
                <w:sz w:val="20"/>
              </w:rPr>
              <w:t xml:space="preserve">млн. кв. метров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390</w:t>
            </w:r>
          </w:p>
        </w:tc>
        <w:tc>
          <w:tcPr>
            <w:tcW w:w="907" w:type="dxa"/>
            <w:tcBorders>
              <w:top w:val="nil"/>
              <w:left w:val="nil"/>
              <w:bottom w:val="nil"/>
              <w:right w:val="nil"/>
            </w:tcBorders>
          </w:tcPr>
          <w:p>
            <w:pPr>
              <w:pStyle w:val="0"/>
              <w:jc w:val="center"/>
            </w:pPr>
            <w:r>
              <w:rPr>
                <w:sz w:val="20"/>
              </w:rPr>
              <w:t xml:space="preserve">411</w:t>
            </w:r>
          </w:p>
        </w:tc>
        <w:tc>
          <w:tcPr>
            <w:tcW w:w="907" w:type="dxa"/>
            <w:tcBorders>
              <w:top w:val="nil"/>
              <w:left w:val="nil"/>
              <w:bottom w:val="nil"/>
              <w:right w:val="nil"/>
            </w:tcBorders>
          </w:tcPr>
          <w:p>
            <w:pPr>
              <w:pStyle w:val="0"/>
              <w:jc w:val="center"/>
            </w:pPr>
            <w:r>
              <w:rPr>
                <w:sz w:val="20"/>
              </w:rPr>
              <w:t xml:space="preserve">469</w:t>
            </w:r>
          </w:p>
        </w:tc>
        <w:tc>
          <w:tcPr>
            <w:tcW w:w="907" w:type="dxa"/>
            <w:tcBorders>
              <w:top w:val="nil"/>
              <w:left w:val="nil"/>
              <w:bottom w:val="nil"/>
              <w:right w:val="nil"/>
            </w:tcBorders>
          </w:tcPr>
          <w:p>
            <w:pPr>
              <w:pStyle w:val="0"/>
              <w:jc w:val="center"/>
            </w:pPr>
            <w:r>
              <w:rPr>
                <w:sz w:val="20"/>
              </w:rPr>
              <w:t xml:space="preserve">502</w:t>
            </w:r>
          </w:p>
        </w:tc>
        <w:tc>
          <w:tcPr>
            <w:tcW w:w="1303" w:type="dxa"/>
            <w:tcBorders>
              <w:top w:val="nil"/>
              <w:left w:val="nil"/>
              <w:bottom w:val="nil"/>
              <w:right w:val="nil"/>
            </w:tcBorders>
            <w:vMerge w:val="restart"/>
          </w:tcPr>
          <w:p>
            <w:pPr>
              <w:pStyle w:val="0"/>
              <w:jc w:val="center"/>
            </w:pPr>
            <w:r>
              <w:rPr>
                <w:sz w:val="20"/>
              </w:rPr>
              <w:t xml:space="preserve">Минстрой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390</w:t>
            </w:r>
          </w:p>
        </w:tc>
        <w:tc>
          <w:tcPr>
            <w:tcW w:w="907" w:type="dxa"/>
            <w:tcBorders>
              <w:top w:val="nil"/>
              <w:left w:val="nil"/>
              <w:bottom w:val="nil"/>
              <w:right w:val="nil"/>
            </w:tcBorders>
          </w:tcPr>
          <w:p>
            <w:pPr>
              <w:pStyle w:val="0"/>
              <w:jc w:val="center"/>
            </w:pPr>
            <w:r>
              <w:rPr>
                <w:sz w:val="20"/>
              </w:rPr>
              <w:t xml:space="preserve">419</w:t>
            </w:r>
          </w:p>
        </w:tc>
        <w:tc>
          <w:tcPr>
            <w:tcW w:w="907" w:type="dxa"/>
            <w:tcBorders>
              <w:top w:val="nil"/>
              <w:left w:val="nil"/>
              <w:bottom w:val="nil"/>
              <w:right w:val="nil"/>
            </w:tcBorders>
          </w:tcPr>
          <w:p>
            <w:pPr>
              <w:pStyle w:val="0"/>
              <w:jc w:val="center"/>
            </w:pPr>
            <w:r>
              <w:rPr>
                <w:sz w:val="20"/>
              </w:rPr>
              <w:t xml:space="preserve">502</w:t>
            </w:r>
          </w:p>
        </w:tc>
        <w:tc>
          <w:tcPr>
            <w:tcW w:w="907" w:type="dxa"/>
            <w:tcBorders>
              <w:top w:val="nil"/>
              <w:left w:val="nil"/>
              <w:bottom w:val="nil"/>
              <w:right w:val="nil"/>
            </w:tcBorders>
          </w:tcPr>
          <w:p>
            <w:pPr>
              <w:pStyle w:val="0"/>
              <w:jc w:val="center"/>
            </w:pPr>
            <w:r>
              <w:rPr>
                <w:sz w:val="20"/>
              </w:rPr>
              <w:t xml:space="preserve">502</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1.1.2.</w:t>
            </w:r>
          </w:p>
        </w:tc>
        <w:tc>
          <w:tcPr>
            <w:tcW w:w="3798" w:type="dxa"/>
            <w:tcBorders>
              <w:top w:val="nil"/>
              <w:left w:val="nil"/>
              <w:bottom w:val="nil"/>
              <w:right w:val="nil"/>
            </w:tcBorders>
            <w:vMerge w:val="restart"/>
          </w:tcPr>
          <w:p>
            <w:pPr>
              <w:pStyle w:val="0"/>
            </w:pPr>
            <w:r>
              <w:rPr>
                <w:sz w:val="20"/>
              </w:rPr>
              <w:t xml:space="preserve">Земельные участки, выявленные для вовлечения в оборот в целях жилищного строительства</w:t>
            </w:r>
          </w:p>
        </w:tc>
        <w:tc>
          <w:tcPr>
            <w:tcW w:w="1303" w:type="dxa"/>
            <w:tcBorders>
              <w:top w:val="nil"/>
              <w:left w:val="nil"/>
              <w:bottom w:val="nil"/>
              <w:right w:val="nil"/>
            </w:tcBorders>
            <w:vMerge w:val="restart"/>
          </w:tcPr>
          <w:p>
            <w:pPr>
              <w:pStyle w:val="0"/>
              <w:jc w:val="center"/>
            </w:pPr>
            <w:r>
              <w:rPr>
                <w:sz w:val="20"/>
              </w:rPr>
              <w:t xml:space="preserve">тыс. гектаров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20</w:t>
            </w:r>
          </w:p>
        </w:tc>
        <w:tc>
          <w:tcPr>
            <w:tcW w:w="907" w:type="dxa"/>
            <w:tcBorders>
              <w:top w:val="nil"/>
              <w:left w:val="nil"/>
              <w:bottom w:val="nil"/>
              <w:right w:val="nil"/>
            </w:tcBorders>
          </w:tcPr>
          <w:p>
            <w:pPr>
              <w:pStyle w:val="0"/>
              <w:jc w:val="center"/>
            </w:pPr>
            <w:r>
              <w:rPr>
                <w:sz w:val="20"/>
              </w:rPr>
              <w:t xml:space="preserve">85</w:t>
            </w:r>
          </w:p>
        </w:tc>
        <w:tc>
          <w:tcPr>
            <w:tcW w:w="907" w:type="dxa"/>
            <w:tcBorders>
              <w:top w:val="nil"/>
              <w:left w:val="nil"/>
              <w:bottom w:val="nil"/>
              <w:right w:val="nil"/>
            </w:tcBorders>
          </w:tcPr>
          <w:p>
            <w:pPr>
              <w:pStyle w:val="0"/>
              <w:jc w:val="center"/>
            </w:pPr>
            <w:r>
              <w:rPr>
                <w:sz w:val="20"/>
              </w:rPr>
              <w:t xml:space="preserve">200</w:t>
            </w:r>
          </w:p>
        </w:tc>
        <w:tc>
          <w:tcPr>
            <w:tcW w:w="907" w:type="dxa"/>
            <w:tcBorders>
              <w:top w:val="nil"/>
              <w:left w:val="nil"/>
              <w:bottom w:val="nil"/>
              <w:right w:val="nil"/>
            </w:tcBorders>
          </w:tcPr>
          <w:p>
            <w:pPr>
              <w:pStyle w:val="0"/>
              <w:jc w:val="center"/>
            </w:pPr>
            <w:r>
              <w:rPr>
                <w:sz w:val="20"/>
              </w:rPr>
              <w:t xml:space="preserve">200</w:t>
            </w:r>
          </w:p>
        </w:tc>
        <w:tc>
          <w:tcPr>
            <w:tcW w:w="1303" w:type="dxa"/>
            <w:tcBorders>
              <w:top w:val="nil"/>
              <w:left w:val="nil"/>
              <w:bottom w:val="nil"/>
              <w:right w:val="nil"/>
            </w:tcBorders>
            <w:vMerge w:val="restart"/>
          </w:tcPr>
          <w:p>
            <w:pPr>
              <w:pStyle w:val="0"/>
              <w:jc w:val="center"/>
            </w:pPr>
            <w:r>
              <w:rPr>
                <w:sz w:val="20"/>
              </w:rPr>
              <w:t xml:space="preserve">Росреестр</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20</w:t>
            </w:r>
          </w:p>
        </w:tc>
        <w:tc>
          <w:tcPr>
            <w:tcW w:w="907" w:type="dxa"/>
            <w:tcBorders>
              <w:top w:val="nil"/>
              <w:left w:val="nil"/>
              <w:bottom w:val="nil"/>
              <w:right w:val="nil"/>
            </w:tcBorders>
          </w:tcPr>
          <w:p>
            <w:pPr>
              <w:pStyle w:val="0"/>
              <w:jc w:val="center"/>
            </w:pPr>
            <w:r>
              <w:rPr>
                <w:sz w:val="20"/>
              </w:rPr>
              <w:t xml:space="preserve">87</w:t>
            </w:r>
          </w:p>
        </w:tc>
        <w:tc>
          <w:tcPr>
            <w:tcW w:w="907" w:type="dxa"/>
            <w:tcBorders>
              <w:top w:val="nil"/>
              <w:left w:val="nil"/>
              <w:bottom w:val="nil"/>
              <w:right w:val="nil"/>
            </w:tcBorders>
          </w:tcPr>
          <w:p>
            <w:pPr>
              <w:pStyle w:val="0"/>
              <w:jc w:val="center"/>
            </w:pPr>
            <w:r>
              <w:rPr>
                <w:sz w:val="20"/>
              </w:rPr>
              <w:t xml:space="preserve">210</w:t>
            </w:r>
          </w:p>
        </w:tc>
        <w:tc>
          <w:tcPr>
            <w:tcW w:w="907" w:type="dxa"/>
            <w:tcBorders>
              <w:top w:val="nil"/>
              <w:left w:val="nil"/>
              <w:bottom w:val="nil"/>
              <w:right w:val="nil"/>
            </w:tcBorders>
          </w:tcPr>
          <w:p>
            <w:pPr>
              <w:pStyle w:val="0"/>
              <w:jc w:val="center"/>
            </w:pPr>
            <w:r>
              <w:rPr>
                <w:sz w:val="20"/>
              </w:rPr>
              <w:t xml:space="preserve">210</w:t>
            </w:r>
          </w:p>
        </w:tc>
        <w:tc>
          <w:tcPr>
            <w:tcBorders>
              <w:top w:val="nil"/>
              <w:left w:val="nil"/>
              <w:bottom w:val="nil"/>
              <w:right w:val="nil"/>
            </w:tcBorders>
            <w:vMerge w:val="continue"/>
          </w:tcPr>
          <w:p/>
        </w:tc>
      </w:tr>
      <w:tr>
        <w:tc>
          <w:tcPr>
            <w:gridSpan w:val="9"/>
            <w:tcW w:w="11619" w:type="dxa"/>
            <w:tcBorders>
              <w:top w:val="nil"/>
              <w:left w:val="nil"/>
              <w:bottom w:val="nil"/>
              <w:right w:val="nil"/>
            </w:tcBorders>
          </w:tcPr>
          <w:p>
            <w:pPr>
              <w:pStyle w:val="0"/>
              <w:outlineLvl w:val="3"/>
              <w:jc w:val="center"/>
            </w:pPr>
            <w:r>
              <w:rPr>
                <w:sz w:val="20"/>
              </w:rPr>
              <w:t xml:space="preserve">1.2. Новые жилищные возможности</w:t>
            </w:r>
          </w:p>
        </w:tc>
      </w:tr>
      <w:tr>
        <w:tc>
          <w:tcPr>
            <w:tcW w:w="794" w:type="dxa"/>
            <w:tcBorders>
              <w:top w:val="nil"/>
              <w:left w:val="nil"/>
              <w:bottom w:val="nil"/>
              <w:right w:val="nil"/>
            </w:tcBorders>
            <w:vMerge w:val="restart"/>
          </w:tcPr>
          <w:p>
            <w:pPr>
              <w:pStyle w:val="0"/>
              <w:jc w:val="center"/>
            </w:pPr>
            <w:r>
              <w:rPr>
                <w:sz w:val="20"/>
              </w:rPr>
              <w:t xml:space="preserve">1.2.1.</w:t>
            </w:r>
          </w:p>
        </w:tc>
        <w:tc>
          <w:tcPr>
            <w:tcW w:w="3798" w:type="dxa"/>
            <w:tcBorders>
              <w:top w:val="nil"/>
              <w:left w:val="nil"/>
              <w:bottom w:val="nil"/>
              <w:right w:val="nil"/>
            </w:tcBorders>
            <w:vMerge w:val="restart"/>
          </w:tcPr>
          <w:p>
            <w:pPr>
              <w:pStyle w:val="0"/>
            </w:pPr>
            <w:r>
              <w:rPr>
                <w:sz w:val="20"/>
              </w:rPr>
              <w:t xml:space="preserve">Объем жилищного строительства (в год)</w:t>
            </w:r>
          </w:p>
        </w:tc>
        <w:tc>
          <w:tcPr>
            <w:tcW w:w="1303" w:type="dxa"/>
            <w:tcBorders>
              <w:top w:val="nil"/>
              <w:left w:val="nil"/>
              <w:bottom w:val="nil"/>
              <w:right w:val="nil"/>
            </w:tcBorders>
            <w:vMerge w:val="restart"/>
          </w:tcPr>
          <w:p>
            <w:pPr>
              <w:pStyle w:val="0"/>
              <w:jc w:val="center"/>
            </w:pPr>
            <w:r>
              <w:rPr>
                <w:sz w:val="20"/>
              </w:rPr>
              <w:t xml:space="preserve">млн. кв. м</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92,6</w:t>
            </w:r>
          </w:p>
        </w:tc>
        <w:tc>
          <w:tcPr>
            <w:tcW w:w="907" w:type="dxa"/>
            <w:tcBorders>
              <w:top w:val="nil"/>
              <w:left w:val="nil"/>
              <w:bottom w:val="nil"/>
              <w:right w:val="nil"/>
            </w:tcBorders>
          </w:tcPr>
          <w:p>
            <w:pPr>
              <w:pStyle w:val="0"/>
              <w:jc w:val="center"/>
            </w:pPr>
            <w:r>
              <w:rPr>
                <w:sz w:val="20"/>
              </w:rPr>
              <w:t xml:space="preserve">90</w:t>
            </w:r>
          </w:p>
        </w:tc>
        <w:tc>
          <w:tcPr>
            <w:tcW w:w="907" w:type="dxa"/>
            <w:tcBorders>
              <w:top w:val="nil"/>
              <w:left w:val="nil"/>
              <w:bottom w:val="nil"/>
              <w:right w:val="nil"/>
            </w:tcBorders>
          </w:tcPr>
          <w:p>
            <w:pPr>
              <w:pStyle w:val="0"/>
              <w:jc w:val="center"/>
            </w:pPr>
            <w:r>
              <w:rPr>
                <w:sz w:val="20"/>
              </w:rPr>
              <w:t xml:space="preserve">110</w:t>
            </w:r>
          </w:p>
        </w:tc>
        <w:tc>
          <w:tcPr>
            <w:tcW w:w="907" w:type="dxa"/>
            <w:tcBorders>
              <w:top w:val="nil"/>
              <w:left w:val="nil"/>
              <w:bottom w:val="nil"/>
              <w:right w:val="nil"/>
            </w:tcBorders>
          </w:tcPr>
          <w:p>
            <w:pPr>
              <w:pStyle w:val="0"/>
              <w:jc w:val="center"/>
            </w:pPr>
            <w:r>
              <w:rPr>
                <w:sz w:val="20"/>
              </w:rPr>
              <w:t xml:space="preserve">120</w:t>
            </w:r>
          </w:p>
        </w:tc>
        <w:tc>
          <w:tcPr>
            <w:tcW w:w="1303" w:type="dxa"/>
            <w:tcBorders>
              <w:top w:val="nil"/>
              <w:left w:val="nil"/>
              <w:bottom w:val="nil"/>
              <w:right w:val="nil"/>
            </w:tcBorders>
            <w:vMerge w:val="restart"/>
          </w:tcPr>
          <w:p>
            <w:pPr>
              <w:pStyle w:val="0"/>
              <w:jc w:val="center"/>
            </w:pPr>
            <w:r>
              <w:rPr>
                <w:sz w:val="20"/>
              </w:rPr>
              <w:t xml:space="preserve">Росстат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92,6</w:t>
            </w:r>
          </w:p>
        </w:tc>
        <w:tc>
          <w:tcPr>
            <w:tcW w:w="907" w:type="dxa"/>
            <w:tcBorders>
              <w:top w:val="nil"/>
              <w:left w:val="nil"/>
              <w:bottom w:val="nil"/>
              <w:right w:val="nil"/>
            </w:tcBorders>
          </w:tcPr>
          <w:p>
            <w:pPr>
              <w:pStyle w:val="0"/>
              <w:jc w:val="center"/>
            </w:pPr>
            <w:r>
              <w:rPr>
                <w:sz w:val="20"/>
              </w:rPr>
              <w:t xml:space="preserve">94</w:t>
            </w:r>
          </w:p>
        </w:tc>
        <w:tc>
          <w:tcPr>
            <w:tcW w:w="907" w:type="dxa"/>
            <w:tcBorders>
              <w:top w:val="nil"/>
              <w:left w:val="nil"/>
              <w:bottom w:val="nil"/>
              <w:right w:val="nil"/>
            </w:tcBorders>
          </w:tcPr>
          <w:p>
            <w:pPr>
              <w:pStyle w:val="0"/>
              <w:jc w:val="center"/>
            </w:pPr>
            <w:r>
              <w:rPr>
                <w:sz w:val="20"/>
              </w:rPr>
              <w:t xml:space="preserve">120</w:t>
            </w:r>
          </w:p>
        </w:tc>
        <w:tc>
          <w:tcPr>
            <w:tcW w:w="907" w:type="dxa"/>
            <w:tcBorders>
              <w:top w:val="nil"/>
              <w:left w:val="nil"/>
              <w:bottom w:val="nil"/>
              <w:right w:val="nil"/>
            </w:tcBorders>
          </w:tcPr>
          <w:p>
            <w:pPr>
              <w:pStyle w:val="0"/>
              <w:jc w:val="center"/>
            </w:pPr>
            <w:r>
              <w:rPr>
                <w:sz w:val="20"/>
              </w:rPr>
              <w:t xml:space="preserve">120</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1.2.2.</w:t>
            </w:r>
          </w:p>
        </w:tc>
        <w:tc>
          <w:tcPr>
            <w:tcW w:w="3798" w:type="dxa"/>
            <w:tcBorders>
              <w:top w:val="nil"/>
              <w:left w:val="nil"/>
              <w:bottom w:val="nil"/>
              <w:right w:val="nil"/>
            </w:tcBorders>
            <w:vMerge w:val="restart"/>
          </w:tcPr>
          <w:p>
            <w:pPr>
              <w:pStyle w:val="0"/>
            </w:pPr>
            <w:r>
              <w:rPr>
                <w:sz w:val="20"/>
              </w:rPr>
              <w:t xml:space="preserve">Объем многоквартирного жилья в стадии строительства</w:t>
            </w:r>
          </w:p>
        </w:tc>
        <w:tc>
          <w:tcPr>
            <w:tcW w:w="1303" w:type="dxa"/>
            <w:tcBorders>
              <w:top w:val="nil"/>
              <w:left w:val="nil"/>
              <w:bottom w:val="nil"/>
              <w:right w:val="nil"/>
            </w:tcBorders>
            <w:vMerge w:val="restart"/>
          </w:tcPr>
          <w:p>
            <w:pPr>
              <w:pStyle w:val="0"/>
              <w:jc w:val="center"/>
            </w:pPr>
            <w:r>
              <w:rPr>
                <w:sz w:val="20"/>
              </w:rPr>
              <w:t xml:space="preserve">млн. кв. м</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96,4</w:t>
            </w:r>
          </w:p>
        </w:tc>
        <w:tc>
          <w:tcPr>
            <w:tcW w:w="907" w:type="dxa"/>
            <w:tcBorders>
              <w:top w:val="nil"/>
              <w:left w:val="nil"/>
              <w:bottom w:val="nil"/>
              <w:right w:val="nil"/>
            </w:tcBorders>
          </w:tcPr>
          <w:p>
            <w:pPr>
              <w:pStyle w:val="0"/>
              <w:jc w:val="center"/>
            </w:pPr>
            <w:r>
              <w:rPr>
                <w:sz w:val="20"/>
              </w:rPr>
              <w:t xml:space="preserve">85</w:t>
            </w:r>
          </w:p>
        </w:tc>
        <w:tc>
          <w:tcPr>
            <w:tcW w:w="907" w:type="dxa"/>
            <w:tcBorders>
              <w:top w:val="nil"/>
              <w:left w:val="nil"/>
              <w:bottom w:val="nil"/>
              <w:right w:val="nil"/>
            </w:tcBorders>
          </w:tcPr>
          <w:p>
            <w:pPr>
              <w:pStyle w:val="0"/>
              <w:jc w:val="center"/>
            </w:pPr>
            <w:r>
              <w:rPr>
                <w:sz w:val="20"/>
              </w:rPr>
              <w:t xml:space="preserve">120</w:t>
            </w:r>
          </w:p>
        </w:tc>
        <w:tc>
          <w:tcPr>
            <w:tcW w:w="907" w:type="dxa"/>
            <w:tcBorders>
              <w:top w:val="nil"/>
              <w:left w:val="nil"/>
              <w:bottom w:val="nil"/>
              <w:right w:val="nil"/>
            </w:tcBorders>
          </w:tcPr>
          <w:p>
            <w:pPr>
              <w:pStyle w:val="0"/>
              <w:jc w:val="center"/>
            </w:pPr>
            <w:r>
              <w:rPr>
                <w:sz w:val="20"/>
              </w:rPr>
              <w:t xml:space="preserve">140</w:t>
            </w:r>
          </w:p>
        </w:tc>
        <w:tc>
          <w:tcPr>
            <w:tcW w:w="1303" w:type="dxa"/>
            <w:tcBorders>
              <w:top w:val="nil"/>
              <w:left w:val="nil"/>
              <w:bottom w:val="nil"/>
              <w:right w:val="nil"/>
            </w:tcBorders>
            <w:vMerge w:val="restart"/>
          </w:tcPr>
          <w:p>
            <w:pPr>
              <w:pStyle w:val="0"/>
              <w:jc w:val="center"/>
            </w:pPr>
            <w:r>
              <w:rPr>
                <w:sz w:val="20"/>
              </w:rPr>
              <w:t xml:space="preserve">Минстрой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96,4</w:t>
            </w:r>
          </w:p>
        </w:tc>
        <w:tc>
          <w:tcPr>
            <w:tcW w:w="907" w:type="dxa"/>
            <w:tcBorders>
              <w:top w:val="nil"/>
              <w:left w:val="nil"/>
              <w:bottom w:val="nil"/>
              <w:right w:val="nil"/>
            </w:tcBorders>
          </w:tcPr>
          <w:p>
            <w:pPr>
              <w:pStyle w:val="0"/>
              <w:jc w:val="center"/>
            </w:pPr>
            <w:r>
              <w:rPr>
                <w:sz w:val="20"/>
              </w:rPr>
              <w:t xml:space="preserve">111</w:t>
            </w:r>
          </w:p>
        </w:tc>
        <w:tc>
          <w:tcPr>
            <w:tcW w:w="907" w:type="dxa"/>
            <w:tcBorders>
              <w:top w:val="nil"/>
              <w:left w:val="nil"/>
              <w:bottom w:val="nil"/>
              <w:right w:val="nil"/>
            </w:tcBorders>
          </w:tcPr>
          <w:p>
            <w:pPr>
              <w:pStyle w:val="0"/>
              <w:jc w:val="center"/>
            </w:pPr>
            <w:r>
              <w:rPr>
                <w:sz w:val="20"/>
              </w:rPr>
              <w:t xml:space="preserve">140</w:t>
            </w:r>
          </w:p>
        </w:tc>
        <w:tc>
          <w:tcPr>
            <w:tcW w:w="907" w:type="dxa"/>
            <w:tcBorders>
              <w:top w:val="nil"/>
              <w:left w:val="nil"/>
              <w:bottom w:val="nil"/>
              <w:right w:val="nil"/>
            </w:tcBorders>
          </w:tcPr>
          <w:p>
            <w:pPr>
              <w:pStyle w:val="0"/>
              <w:jc w:val="center"/>
            </w:pPr>
            <w:r>
              <w:rPr>
                <w:sz w:val="20"/>
              </w:rPr>
              <w:t xml:space="preserve">140</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1.2.3.</w:t>
            </w:r>
          </w:p>
        </w:tc>
        <w:tc>
          <w:tcPr>
            <w:tcW w:w="3798" w:type="dxa"/>
            <w:tcBorders>
              <w:top w:val="nil"/>
              <w:left w:val="nil"/>
              <w:bottom w:val="nil"/>
              <w:right w:val="nil"/>
            </w:tcBorders>
            <w:vMerge w:val="restart"/>
          </w:tcPr>
          <w:p>
            <w:pPr>
              <w:pStyle w:val="0"/>
            </w:pPr>
            <w:r>
              <w:rPr>
                <w:sz w:val="20"/>
              </w:rPr>
              <w:t xml:space="preserve">Обеспеченность населения жильем (численность населения определена по данным прогноза Росстата)</w:t>
            </w:r>
          </w:p>
        </w:tc>
        <w:tc>
          <w:tcPr>
            <w:tcW w:w="1303" w:type="dxa"/>
            <w:tcBorders>
              <w:top w:val="nil"/>
              <w:left w:val="nil"/>
              <w:bottom w:val="nil"/>
              <w:right w:val="nil"/>
            </w:tcBorders>
            <w:vMerge w:val="restart"/>
          </w:tcPr>
          <w:p>
            <w:pPr>
              <w:pStyle w:val="0"/>
              <w:jc w:val="center"/>
            </w:pPr>
            <w:r>
              <w:rPr>
                <w:sz w:val="20"/>
              </w:rPr>
              <w:t xml:space="preserve">кв. метров на человека</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27,8</w:t>
            </w:r>
          </w:p>
        </w:tc>
        <w:tc>
          <w:tcPr>
            <w:tcW w:w="907" w:type="dxa"/>
            <w:tcBorders>
              <w:top w:val="nil"/>
              <w:left w:val="nil"/>
              <w:bottom w:val="nil"/>
              <w:right w:val="nil"/>
            </w:tcBorders>
          </w:tcPr>
          <w:p>
            <w:pPr>
              <w:pStyle w:val="0"/>
              <w:jc w:val="center"/>
            </w:pPr>
            <w:r>
              <w:rPr>
                <w:sz w:val="20"/>
              </w:rPr>
              <w:t xml:space="preserve">29,2</w:t>
            </w:r>
          </w:p>
        </w:tc>
        <w:tc>
          <w:tcPr>
            <w:tcW w:w="907" w:type="dxa"/>
            <w:tcBorders>
              <w:top w:val="nil"/>
              <w:left w:val="nil"/>
              <w:bottom w:val="nil"/>
              <w:right w:val="nil"/>
            </w:tcBorders>
          </w:tcPr>
          <w:p>
            <w:pPr>
              <w:pStyle w:val="0"/>
              <w:jc w:val="center"/>
            </w:pPr>
            <w:r>
              <w:rPr>
                <w:sz w:val="20"/>
              </w:rPr>
              <w:t xml:space="preserve">33</w:t>
            </w:r>
          </w:p>
        </w:tc>
        <w:tc>
          <w:tcPr>
            <w:tcW w:w="907" w:type="dxa"/>
            <w:tcBorders>
              <w:top w:val="nil"/>
              <w:left w:val="nil"/>
              <w:bottom w:val="nil"/>
              <w:right w:val="nil"/>
            </w:tcBorders>
          </w:tcPr>
          <w:p>
            <w:pPr>
              <w:pStyle w:val="0"/>
              <w:jc w:val="center"/>
            </w:pPr>
            <w:r>
              <w:rPr>
                <w:sz w:val="20"/>
              </w:rPr>
              <w:t xml:space="preserve">36,3</w:t>
            </w:r>
          </w:p>
        </w:tc>
        <w:tc>
          <w:tcPr>
            <w:tcW w:w="1303" w:type="dxa"/>
            <w:tcBorders>
              <w:top w:val="nil"/>
              <w:left w:val="nil"/>
              <w:bottom w:val="nil"/>
              <w:right w:val="nil"/>
            </w:tcBorders>
            <w:vMerge w:val="restart"/>
          </w:tcPr>
          <w:p>
            <w:pPr>
              <w:pStyle w:val="0"/>
              <w:jc w:val="center"/>
            </w:pPr>
            <w:r>
              <w:rPr>
                <w:sz w:val="20"/>
              </w:rPr>
              <w:t xml:space="preserve">Росстат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27,8</w:t>
            </w:r>
          </w:p>
        </w:tc>
        <w:tc>
          <w:tcPr>
            <w:tcW w:w="907" w:type="dxa"/>
            <w:tcBorders>
              <w:top w:val="nil"/>
              <w:left w:val="nil"/>
              <w:bottom w:val="nil"/>
              <w:right w:val="nil"/>
            </w:tcBorders>
          </w:tcPr>
          <w:p>
            <w:pPr>
              <w:pStyle w:val="0"/>
              <w:jc w:val="center"/>
            </w:pPr>
            <w:r>
              <w:rPr>
                <w:sz w:val="20"/>
              </w:rPr>
              <w:t xml:space="preserve">29,3</w:t>
            </w:r>
          </w:p>
        </w:tc>
        <w:tc>
          <w:tcPr>
            <w:tcW w:w="907" w:type="dxa"/>
            <w:tcBorders>
              <w:top w:val="nil"/>
              <w:left w:val="nil"/>
              <w:bottom w:val="nil"/>
              <w:right w:val="nil"/>
            </w:tcBorders>
          </w:tcPr>
          <w:p>
            <w:pPr>
              <w:pStyle w:val="0"/>
              <w:jc w:val="center"/>
            </w:pPr>
            <w:r>
              <w:rPr>
                <w:sz w:val="20"/>
              </w:rPr>
              <w:t xml:space="preserve">33,3</w:t>
            </w:r>
          </w:p>
        </w:tc>
        <w:tc>
          <w:tcPr>
            <w:tcW w:w="907" w:type="dxa"/>
            <w:tcBorders>
              <w:top w:val="nil"/>
              <w:left w:val="nil"/>
              <w:bottom w:val="nil"/>
              <w:right w:val="nil"/>
            </w:tcBorders>
          </w:tcPr>
          <w:p>
            <w:pPr>
              <w:pStyle w:val="0"/>
              <w:jc w:val="center"/>
            </w:pPr>
            <w:r>
              <w:rPr>
                <w:sz w:val="20"/>
              </w:rPr>
              <w:t xml:space="preserve">36,7</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1.2.4.</w:t>
            </w:r>
          </w:p>
        </w:tc>
        <w:tc>
          <w:tcPr>
            <w:tcW w:w="3798" w:type="dxa"/>
            <w:tcBorders>
              <w:top w:val="nil"/>
              <w:left w:val="nil"/>
              <w:bottom w:val="nil"/>
              <w:right w:val="nil"/>
            </w:tcBorders>
            <w:vMerge w:val="restart"/>
          </w:tcPr>
          <w:p>
            <w:pPr>
              <w:pStyle w:val="0"/>
            </w:pPr>
            <w:r>
              <w:rPr>
                <w:sz w:val="20"/>
              </w:rPr>
              <w:t xml:space="preserve">Количество семей, улучшивших жилищные условия</w:t>
            </w:r>
          </w:p>
        </w:tc>
        <w:tc>
          <w:tcPr>
            <w:tcW w:w="1303" w:type="dxa"/>
            <w:tcBorders>
              <w:top w:val="nil"/>
              <w:left w:val="nil"/>
              <w:bottom w:val="nil"/>
              <w:right w:val="nil"/>
            </w:tcBorders>
            <w:vMerge w:val="restart"/>
          </w:tcPr>
          <w:p>
            <w:pPr>
              <w:pStyle w:val="0"/>
              <w:jc w:val="center"/>
            </w:pPr>
            <w:r>
              <w:rPr>
                <w:sz w:val="20"/>
              </w:rPr>
              <w:t xml:space="preserve">млн. семей</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4,2</w:t>
            </w:r>
          </w:p>
        </w:tc>
        <w:tc>
          <w:tcPr>
            <w:tcW w:w="907" w:type="dxa"/>
            <w:tcBorders>
              <w:top w:val="nil"/>
              <w:left w:val="nil"/>
              <w:bottom w:val="nil"/>
              <w:right w:val="nil"/>
            </w:tcBorders>
          </w:tcPr>
          <w:p>
            <w:pPr>
              <w:pStyle w:val="0"/>
              <w:jc w:val="center"/>
            </w:pPr>
            <w:r>
              <w:rPr>
                <w:sz w:val="20"/>
              </w:rPr>
              <w:t xml:space="preserve">3,5</w:t>
            </w:r>
          </w:p>
        </w:tc>
        <w:tc>
          <w:tcPr>
            <w:tcW w:w="907" w:type="dxa"/>
            <w:tcBorders>
              <w:top w:val="nil"/>
              <w:left w:val="nil"/>
              <w:bottom w:val="nil"/>
              <w:right w:val="nil"/>
            </w:tcBorders>
          </w:tcPr>
          <w:p>
            <w:pPr>
              <w:pStyle w:val="0"/>
              <w:jc w:val="center"/>
            </w:pPr>
            <w:r>
              <w:rPr>
                <w:sz w:val="20"/>
              </w:rPr>
              <w:t xml:space="preserve">4,3</w:t>
            </w:r>
          </w:p>
        </w:tc>
        <w:tc>
          <w:tcPr>
            <w:tcW w:w="907" w:type="dxa"/>
            <w:tcBorders>
              <w:top w:val="nil"/>
              <w:left w:val="nil"/>
              <w:bottom w:val="nil"/>
              <w:right w:val="nil"/>
            </w:tcBorders>
          </w:tcPr>
          <w:p>
            <w:pPr>
              <w:pStyle w:val="0"/>
              <w:jc w:val="center"/>
            </w:pPr>
            <w:r>
              <w:rPr>
                <w:sz w:val="20"/>
              </w:rPr>
              <w:t xml:space="preserve">5</w:t>
            </w:r>
          </w:p>
        </w:tc>
        <w:tc>
          <w:tcPr>
            <w:tcW w:w="1303" w:type="dxa"/>
            <w:tcBorders>
              <w:top w:val="nil"/>
              <w:left w:val="nil"/>
              <w:bottom w:val="nil"/>
              <w:right w:val="nil"/>
            </w:tcBorders>
            <w:vMerge w:val="restart"/>
          </w:tcPr>
          <w:p>
            <w:pPr>
              <w:pStyle w:val="0"/>
              <w:jc w:val="center"/>
            </w:pPr>
            <w:r>
              <w:rPr>
                <w:sz w:val="20"/>
              </w:rPr>
              <w:t xml:space="preserve">Минстрой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4,2</w:t>
            </w:r>
          </w:p>
        </w:tc>
        <w:tc>
          <w:tcPr>
            <w:tcW w:w="907" w:type="dxa"/>
            <w:tcBorders>
              <w:top w:val="nil"/>
              <w:left w:val="nil"/>
              <w:bottom w:val="nil"/>
              <w:right w:val="nil"/>
            </w:tcBorders>
          </w:tcPr>
          <w:p>
            <w:pPr>
              <w:pStyle w:val="0"/>
              <w:jc w:val="center"/>
            </w:pPr>
            <w:r>
              <w:rPr>
                <w:sz w:val="20"/>
              </w:rPr>
              <w:t xml:space="preserve">4,3</w:t>
            </w:r>
          </w:p>
        </w:tc>
        <w:tc>
          <w:tcPr>
            <w:tcW w:w="907" w:type="dxa"/>
            <w:tcBorders>
              <w:top w:val="nil"/>
              <w:left w:val="nil"/>
              <w:bottom w:val="nil"/>
              <w:right w:val="nil"/>
            </w:tcBorders>
          </w:tcPr>
          <w:p>
            <w:pPr>
              <w:pStyle w:val="0"/>
              <w:jc w:val="center"/>
            </w:pPr>
            <w:r>
              <w:rPr>
                <w:sz w:val="20"/>
              </w:rPr>
              <w:t xml:space="preserve">5</w:t>
            </w:r>
          </w:p>
        </w:tc>
        <w:tc>
          <w:tcPr>
            <w:tcW w:w="907" w:type="dxa"/>
            <w:tcBorders>
              <w:top w:val="nil"/>
              <w:left w:val="nil"/>
              <w:bottom w:val="nil"/>
              <w:right w:val="nil"/>
            </w:tcBorders>
          </w:tcPr>
          <w:p>
            <w:pPr>
              <w:pStyle w:val="0"/>
              <w:jc w:val="center"/>
            </w:pPr>
            <w:r>
              <w:rPr>
                <w:sz w:val="20"/>
              </w:rPr>
              <w:t xml:space="preserve">5</w:t>
            </w:r>
          </w:p>
        </w:tc>
        <w:tc>
          <w:tcPr>
            <w:tcBorders>
              <w:top w:val="nil"/>
              <w:left w:val="nil"/>
              <w:bottom w:val="nil"/>
              <w:right w:val="nil"/>
            </w:tcBorders>
            <w:vMerge w:val="continue"/>
          </w:tcPr>
          <w:p/>
        </w:tc>
      </w:tr>
      <w:tr>
        <w:tc>
          <w:tcPr>
            <w:gridSpan w:val="9"/>
            <w:tcW w:w="11619" w:type="dxa"/>
            <w:tcBorders>
              <w:top w:val="nil"/>
              <w:left w:val="nil"/>
              <w:bottom w:val="nil"/>
              <w:right w:val="nil"/>
            </w:tcBorders>
          </w:tcPr>
          <w:p>
            <w:pPr>
              <w:pStyle w:val="0"/>
              <w:outlineLvl w:val="3"/>
              <w:jc w:val="center"/>
            </w:pPr>
            <w:r>
              <w:rPr>
                <w:sz w:val="20"/>
              </w:rPr>
              <w:t xml:space="preserve">1.3. Жилищно-коммунальное хозяйство и городская среда</w:t>
            </w:r>
          </w:p>
        </w:tc>
      </w:tr>
      <w:tr>
        <w:tc>
          <w:tcPr>
            <w:tcW w:w="794" w:type="dxa"/>
            <w:tcBorders>
              <w:top w:val="nil"/>
              <w:left w:val="nil"/>
              <w:bottom w:val="nil"/>
              <w:right w:val="nil"/>
            </w:tcBorders>
            <w:vMerge w:val="restart"/>
          </w:tcPr>
          <w:p>
            <w:pPr>
              <w:pStyle w:val="0"/>
              <w:jc w:val="center"/>
            </w:pPr>
            <w:r>
              <w:rPr>
                <w:sz w:val="20"/>
              </w:rPr>
              <w:t xml:space="preserve">1.3.1.</w:t>
            </w:r>
          </w:p>
        </w:tc>
        <w:tc>
          <w:tcPr>
            <w:tcW w:w="3798" w:type="dxa"/>
            <w:tcBorders>
              <w:top w:val="nil"/>
              <w:left w:val="nil"/>
              <w:bottom w:val="nil"/>
              <w:right w:val="nil"/>
            </w:tcBorders>
            <w:vMerge w:val="restart"/>
          </w:tcPr>
          <w:p>
            <w:pPr>
              <w:pStyle w:val="0"/>
            </w:pPr>
            <w:r>
              <w:rPr>
                <w:sz w:val="20"/>
              </w:rPr>
              <w:t xml:space="preserve">Объем капитального ремонта, проводимого в рамках реализации региональных программ капитального ремонта общего имущества в многоквартирных домах</w:t>
            </w:r>
          </w:p>
        </w:tc>
        <w:tc>
          <w:tcPr>
            <w:tcW w:w="1303" w:type="dxa"/>
            <w:tcBorders>
              <w:top w:val="nil"/>
              <w:left w:val="nil"/>
              <w:bottom w:val="nil"/>
              <w:right w:val="nil"/>
            </w:tcBorders>
            <w:vMerge w:val="restart"/>
          </w:tcPr>
          <w:p>
            <w:pPr>
              <w:pStyle w:val="0"/>
              <w:jc w:val="center"/>
            </w:pPr>
            <w:r>
              <w:rPr>
                <w:sz w:val="20"/>
              </w:rPr>
              <w:t xml:space="preserve">млн. кв. метров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170</w:t>
            </w:r>
          </w:p>
        </w:tc>
        <w:tc>
          <w:tcPr>
            <w:tcW w:w="907" w:type="dxa"/>
            <w:tcBorders>
              <w:top w:val="nil"/>
              <w:left w:val="nil"/>
              <w:bottom w:val="nil"/>
              <w:right w:val="nil"/>
            </w:tcBorders>
          </w:tcPr>
          <w:p>
            <w:pPr>
              <w:pStyle w:val="0"/>
              <w:jc w:val="center"/>
            </w:pPr>
            <w:r>
              <w:rPr>
                <w:sz w:val="20"/>
              </w:rPr>
              <w:t xml:space="preserve">170</w:t>
            </w:r>
          </w:p>
        </w:tc>
        <w:tc>
          <w:tcPr>
            <w:tcW w:w="907" w:type="dxa"/>
            <w:tcBorders>
              <w:top w:val="nil"/>
              <w:left w:val="nil"/>
              <w:bottom w:val="nil"/>
              <w:right w:val="nil"/>
            </w:tcBorders>
          </w:tcPr>
          <w:p>
            <w:pPr>
              <w:pStyle w:val="0"/>
              <w:jc w:val="center"/>
            </w:pPr>
            <w:r>
              <w:rPr>
                <w:sz w:val="20"/>
              </w:rPr>
              <w:t xml:space="preserve">170</w:t>
            </w:r>
          </w:p>
        </w:tc>
        <w:tc>
          <w:tcPr>
            <w:tcW w:w="907" w:type="dxa"/>
            <w:tcBorders>
              <w:top w:val="nil"/>
              <w:left w:val="nil"/>
              <w:bottom w:val="nil"/>
              <w:right w:val="nil"/>
            </w:tcBorders>
          </w:tcPr>
          <w:p>
            <w:pPr>
              <w:pStyle w:val="0"/>
              <w:jc w:val="center"/>
            </w:pPr>
            <w:r>
              <w:rPr>
                <w:sz w:val="20"/>
              </w:rPr>
              <w:t xml:space="preserve">208</w:t>
            </w:r>
          </w:p>
        </w:tc>
        <w:tc>
          <w:tcPr>
            <w:tcW w:w="1303" w:type="dxa"/>
            <w:tcBorders>
              <w:top w:val="nil"/>
              <w:left w:val="nil"/>
              <w:bottom w:val="nil"/>
              <w:right w:val="nil"/>
            </w:tcBorders>
            <w:vMerge w:val="restart"/>
          </w:tcPr>
          <w:p>
            <w:pPr>
              <w:pStyle w:val="0"/>
              <w:jc w:val="center"/>
            </w:pPr>
            <w:r>
              <w:rPr>
                <w:sz w:val="20"/>
              </w:rPr>
              <w:t xml:space="preserve">Минстрой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170</w:t>
            </w:r>
          </w:p>
        </w:tc>
        <w:tc>
          <w:tcPr>
            <w:tcW w:w="907" w:type="dxa"/>
            <w:tcBorders>
              <w:top w:val="nil"/>
              <w:left w:val="nil"/>
              <w:bottom w:val="nil"/>
              <w:right w:val="nil"/>
            </w:tcBorders>
          </w:tcPr>
          <w:p>
            <w:pPr>
              <w:pStyle w:val="0"/>
              <w:jc w:val="center"/>
            </w:pPr>
            <w:r>
              <w:rPr>
                <w:sz w:val="20"/>
              </w:rPr>
              <w:t xml:space="preserve">186</w:t>
            </w:r>
          </w:p>
        </w:tc>
        <w:tc>
          <w:tcPr>
            <w:tcW w:w="907" w:type="dxa"/>
            <w:tcBorders>
              <w:top w:val="nil"/>
              <w:left w:val="nil"/>
              <w:bottom w:val="nil"/>
              <w:right w:val="nil"/>
            </w:tcBorders>
          </w:tcPr>
          <w:p>
            <w:pPr>
              <w:pStyle w:val="0"/>
              <w:jc w:val="center"/>
            </w:pPr>
            <w:r>
              <w:rPr>
                <w:sz w:val="20"/>
              </w:rPr>
              <w:t xml:space="preserve">210</w:t>
            </w:r>
          </w:p>
        </w:tc>
        <w:tc>
          <w:tcPr>
            <w:tcW w:w="907" w:type="dxa"/>
            <w:tcBorders>
              <w:top w:val="nil"/>
              <w:left w:val="nil"/>
              <w:bottom w:val="nil"/>
              <w:right w:val="nil"/>
            </w:tcBorders>
          </w:tcPr>
          <w:p>
            <w:pPr>
              <w:pStyle w:val="0"/>
              <w:jc w:val="center"/>
            </w:pPr>
            <w:r>
              <w:rPr>
                <w:sz w:val="20"/>
              </w:rPr>
              <w:t xml:space="preserve">262</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1.3.2.</w:t>
            </w:r>
          </w:p>
        </w:tc>
        <w:tc>
          <w:tcPr>
            <w:tcW w:w="3798" w:type="dxa"/>
            <w:tcBorders>
              <w:top w:val="nil"/>
              <w:left w:val="nil"/>
              <w:bottom w:val="nil"/>
              <w:right w:val="nil"/>
            </w:tcBorders>
            <w:vMerge w:val="restart"/>
          </w:tcPr>
          <w:p>
            <w:pPr>
              <w:pStyle w:val="0"/>
            </w:pPr>
            <w:r>
              <w:rPr>
                <w:sz w:val="20"/>
              </w:rPr>
              <w:t xml:space="preserve">Индекс качества городской среды </w:t>
            </w:r>
            <w:r>
              <w:rPr>
                <w:sz w:val="20"/>
              </w:rPr>
              <w:t xml:space="preserve">&lt;**&gt;</w:t>
            </w:r>
          </w:p>
        </w:tc>
        <w:tc>
          <w:tcPr>
            <w:tcW w:w="1303" w:type="dxa"/>
            <w:tcBorders>
              <w:top w:val="nil"/>
              <w:left w:val="nil"/>
              <w:bottom w:val="nil"/>
              <w:right w:val="nil"/>
            </w:tcBorders>
            <w:vMerge w:val="restart"/>
          </w:tcPr>
          <w:p>
            <w:pPr>
              <w:pStyle w:val="0"/>
              <w:jc w:val="center"/>
            </w:pPr>
            <w:r>
              <w:rPr>
                <w:sz w:val="20"/>
              </w:rPr>
              <w:t xml:space="preserve">баллов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184</w:t>
            </w:r>
          </w:p>
        </w:tc>
        <w:tc>
          <w:tcPr>
            <w:tcW w:w="907" w:type="dxa"/>
            <w:tcBorders>
              <w:top w:val="nil"/>
              <w:left w:val="nil"/>
              <w:bottom w:val="nil"/>
              <w:right w:val="nil"/>
            </w:tcBorders>
          </w:tcPr>
          <w:p>
            <w:pPr>
              <w:pStyle w:val="0"/>
              <w:jc w:val="center"/>
            </w:pPr>
            <w:r>
              <w:rPr>
                <w:sz w:val="20"/>
              </w:rPr>
              <w:t xml:space="preserve">205</w:t>
            </w:r>
          </w:p>
        </w:tc>
        <w:tc>
          <w:tcPr>
            <w:tcW w:w="907" w:type="dxa"/>
            <w:tcBorders>
              <w:top w:val="nil"/>
              <w:left w:val="nil"/>
              <w:bottom w:val="nil"/>
              <w:right w:val="nil"/>
            </w:tcBorders>
          </w:tcPr>
          <w:p>
            <w:pPr>
              <w:pStyle w:val="0"/>
              <w:jc w:val="center"/>
            </w:pPr>
            <w:r>
              <w:rPr>
                <w:sz w:val="20"/>
              </w:rPr>
              <w:t xml:space="preserve">250</w:t>
            </w:r>
          </w:p>
        </w:tc>
        <w:tc>
          <w:tcPr>
            <w:tcW w:w="907" w:type="dxa"/>
            <w:tcBorders>
              <w:top w:val="nil"/>
              <w:left w:val="nil"/>
              <w:bottom w:val="nil"/>
              <w:right w:val="nil"/>
            </w:tcBorders>
          </w:tcPr>
          <w:p>
            <w:pPr>
              <w:pStyle w:val="0"/>
              <w:jc w:val="center"/>
            </w:pPr>
            <w:r>
              <w:rPr>
                <w:sz w:val="20"/>
              </w:rPr>
              <w:t xml:space="preserve">273</w:t>
            </w:r>
          </w:p>
        </w:tc>
        <w:tc>
          <w:tcPr>
            <w:tcW w:w="1303" w:type="dxa"/>
            <w:tcBorders>
              <w:top w:val="nil"/>
              <w:left w:val="nil"/>
              <w:bottom w:val="nil"/>
              <w:right w:val="nil"/>
            </w:tcBorders>
            <w:vMerge w:val="restart"/>
          </w:tcPr>
          <w:p>
            <w:pPr>
              <w:pStyle w:val="0"/>
              <w:jc w:val="center"/>
            </w:pPr>
            <w:r>
              <w:rPr>
                <w:sz w:val="20"/>
              </w:rPr>
              <w:t xml:space="preserve">Минстрой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184</w:t>
            </w:r>
          </w:p>
        </w:tc>
        <w:tc>
          <w:tcPr>
            <w:tcW w:w="907" w:type="dxa"/>
            <w:tcBorders>
              <w:top w:val="nil"/>
              <w:left w:val="nil"/>
              <w:bottom w:val="nil"/>
              <w:right w:val="nil"/>
            </w:tcBorders>
          </w:tcPr>
          <w:p>
            <w:pPr>
              <w:pStyle w:val="0"/>
              <w:jc w:val="center"/>
            </w:pPr>
            <w:r>
              <w:rPr>
                <w:sz w:val="20"/>
              </w:rPr>
              <w:t xml:space="preserve">206</w:t>
            </w:r>
          </w:p>
        </w:tc>
        <w:tc>
          <w:tcPr>
            <w:tcW w:w="907" w:type="dxa"/>
            <w:tcBorders>
              <w:top w:val="nil"/>
              <w:left w:val="nil"/>
              <w:bottom w:val="nil"/>
              <w:right w:val="nil"/>
            </w:tcBorders>
          </w:tcPr>
          <w:p>
            <w:pPr>
              <w:pStyle w:val="0"/>
              <w:jc w:val="center"/>
            </w:pPr>
            <w:r>
              <w:rPr>
                <w:sz w:val="20"/>
              </w:rPr>
              <w:t xml:space="preserve">254</w:t>
            </w:r>
          </w:p>
        </w:tc>
        <w:tc>
          <w:tcPr>
            <w:tcW w:w="907" w:type="dxa"/>
            <w:tcBorders>
              <w:top w:val="nil"/>
              <w:left w:val="nil"/>
              <w:bottom w:val="nil"/>
              <w:right w:val="nil"/>
            </w:tcBorders>
          </w:tcPr>
          <w:p>
            <w:pPr>
              <w:pStyle w:val="0"/>
              <w:jc w:val="center"/>
            </w:pPr>
            <w:r>
              <w:rPr>
                <w:sz w:val="20"/>
              </w:rPr>
              <w:t xml:space="preserve">278</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1.3.3.</w:t>
            </w:r>
          </w:p>
        </w:tc>
        <w:tc>
          <w:tcPr>
            <w:tcW w:w="3798" w:type="dxa"/>
            <w:tcBorders>
              <w:top w:val="nil"/>
              <w:left w:val="nil"/>
              <w:bottom w:val="nil"/>
              <w:right w:val="nil"/>
            </w:tcBorders>
            <w:vMerge w:val="restart"/>
          </w:tcPr>
          <w:p>
            <w:pPr>
              <w:pStyle w:val="0"/>
            </w:pPr>
            <w:r>
              <w:rPr>
                <w:sz w:val="20"/>
              </w:rPr>
              <w:t xml:space="preserve">Прирост среднего индекса качества городской среды по Российской Федерации по отношению к показателям 2019 года </w:t>
            </w:r>
            <w:r>
              <w:rPr>
                <w:sz w:val="20"/>
              </w:rPr>
              <w:t xml:space="preserve">&lt;**&gt;</w:t>
            </w:r>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9</w:t>
            </w:r>
          </w:p>
        </w:tc>
        <w:tc>
          <w:tcPr>
            <w:tcW w:w="907" w:type="dxa"/>
            <w:tcBorders>
              <w:top w:val="nil"/>
              <w:left w:val="nil"/>
              <w:bottom w:val="nil"/>
              <w:right w:val="nil"/>
            </w:tcBorders>
          </w:tcPr>
          <w:p>
            <w:pPr>
              <w:pStyle w:val="0"/>
              <w:jc w:val="center"/>
            </w:pPr>
            <w:r>
              <w:rPr>
                <w:sz w:val="20"/>
              </w:rPr>
              <w:t xml:space="preserve">21</w:t>
            </w:r>
          </w:p>
        </w:tc>
        <w:tc>
          <w:tcPr>
            <w:tcW w:w="907" w:type="dxa"/>
            <w:tcBorders>
              <w:top w:val="nil"/>
              <w:left w:val="nil"/>
              <w:bottom w:val="nil"/>
              <w:right w:val="nil"/>
            </w:tcBorders>
          </w:tcPr>
          <w:p>
            <w:pPr>
              <w:pStyle w:val="0"/>
              <w:jc w:val="center"/>
            </w:pPr>
            <w:r>
              <w:rPr>
                <w:sz w:val="20"/>
              </w:rPr>
              <w:t xml:space="preserve">48</w:t>
            </w:r>
          </w:p>
        </w:tc>
        <w:tc>
          <w:tcPr>
            <w:tcW w:w="907" w:type="dxa"/>
            <w:tcBorders>
              <w:top w:val="nil"/>
              <w:left w:val="nil"/>
              <w:bottom w:val="nil"/>
              <w:right w:val="nil"/>
            </w:tcBorders>
          </w:tcPr>
          <w:p>
            <w:pPr>
              <w:pStyle w:val="0"/>
              <w:jc w:val="center"/>
            </w:pPr>
            <w:r>
              <w:rPr>
                <w:sz w:val="20"/>
              </w:rPr>
              <w:t xml:space="preserve">62</w:t>
            </w:r>
          </w:p>
        </w:tc>
        <w:tc>
          <w:tcPr>
            <w:tcW w:w="1303" w:type="dxa"/>
            <w:tcBorders>
              <w:top w:val="nil"/>
              <w:left w:val="nil"/>
              <w:bottom w:val="nil"/>
              <w:right w:val="nil"/>
            </w:tcBorders>
            <w:vMerge w:val="restart"/>
          </w:tcPr>
          <w:p>
            <w:pPr>
              <w:pStyle w:val="0"/>
              <w:jc w:val="center"/>
            </w:pPr>
            <w:r>
              <w:rPr>
                <w:sz w:val="20"/>
              </w:rPr>
              <w:t xml:space="preserve">Минстрой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9</w:t>
            </w:r>
          </w:p>
        </w:tc>
        <w:tc>
          <w:tcPr>
            <w:tcW w:w="907" w:type="dxa"/>
            <w:tcBorders>
              <w:top w:val="nil"/>
              <w:left w:val="nil"/>
              <w:bottom w:val="nil"/>
              <w:right w:val="nil"/>
            </w:tcBorders>
          </w:tcPr>
          <w:p>
            <w:pPr>
              <w:pStyle w:val="0"/>
              <w:jc w:val="center"/>
            </w:pPr>
            <w:r>
              <w:rPr>
                <w:sz w:val="20"/>
              </w:rPr>
              <w:t xml:space="preserve">22</w:t>
            </w:r>
          </w:p>
        </w:tc>
        <w:tc>
          <w:tcPr>
            <w:tcW w:w="907" w:type="dxa"/>
            <w:tcBorders>
              <w:top w:val="nil"/>
              <w:left w:val="nil"/>
              <w:bottom w:val="nil"/>
              <w:right w:val="nil"/>
            </w:tcBorders>
          </w:tcPr>
          <w:p>
            <w:pPr>
              <w:pStyle w:val="0"/>
              <w:jc w:val="center"/>
            </w:pPr>
            <w:r>
              <w:rPr>
                <w:sz w:val="20"/>
              </w:rPr>
              <w:t xml:space="preserve">50</w:t>
            </w:r>
          </w:p>
        </w:tc>
        <w:tc>
          <w:tcPr>
            <w:tcW w:w="907" w:type="dxa"/>
            <w:tcBorders>
              <w:top w:val="nil"/>
              <w:left w:val="nil"/>
              <w:bottom w:val="nil"/>
              <w:right w:val="nil"/>
            </w:tcBorders>
          </w:tcPr>
          <w:p>
            <w:pPr>
              <w:pStyle w:val="0"/>
              <w:jc w:val="center"/>
            </w:pPr>
            <w:r>
              <w:rPr>
                <w:sz w:val="20"/>
              </w:rPr>
              <w:t xml:space="preserve">65</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1.3.4.</w:t>
            </w:r>
          </w:p>
        </w:tc>
        <w:tc>
          <w:tcPr>
            <w:tcW w:w="3798" w:type="dxa"/>
            <w:tcBorders>
              <w:top w:val="nil"/>
              <w:left w:val="nil"/>
              <w:bottom w:val="nil"/>
              <w:right w:val="nil"/>
            </w:tcBorders>
            <w:vMerge w:val="restart"/>
          </w:tcPr>
          <w:p>
            <w:pPr>
              <w:pStyle w:val="0"/>
            </w:pPr>
            <w:r>
              <w:rPr>
                <w:sz w:val="20"/>
              </w:rPr>
              <w:t xml:space="preserve">Количество благоустроенных общественных территорий (нарастающим итогом с 2019 года) </w:t>
            </w:r>
            <w:r>
              <w:rPr>
                <w:sz w:val="20"/>
              </w:rPr>
              <w:t xml:space="preserve">&lt;**&gt;</w:t>
            </w:r>
          </w:p>
        </w:tc>
        <w:tc>
          <w:tcPr>
            <w:tcW w:w="1303" w:type="dxa"/>
            <w:tcBorders>
              <w:top w:val="nil"/>
              <w:left w:val="nil"/>
              <w:bottom w:val="nil"/>
              <w:right w:val="nil"/>
            </w:tcBorders>
            <w:vMerge w:val="restart"/>
          </w:tcPr>
          <w:p>
            <w:pPr>
              <w:pStyle w:val="0"/>
              <w:jc w:val="center"/>
            </w:pPr>
            <w:r>
              <w:rPr>
                <w:sz w:val="20"/>
              </w:rPr>
              <w:t xml:space="preserve">единиц</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17344</w:t>
            </w:r>
          </w:p>
        </w:tc>
        <w:tc>
          <w:tcPr>
            <w:tcW w:w="907" w:type="dxa"/>
            <w:tcBorders>
              <w:top w:val="nil"/>
              <w:left w:val="nil"/>
              <w:bottom w:val="nil"/>
              <w:right w:val="nil"/>
            </w:tcBorders>
          </w:tcPr>
          <w:p>
            <w:pPr>
              <w:pStyle w:val="0"/>
              <w:jc w:val="center"/>
            </w:pPr>
            <w:r>
              <w:rPr>
                <w:sz w:val="20"/>
              </w:rPr>
              <w:t xml:space="preserve">29633</w:t>
            </w:r>
          </w:p>
        </w:tc>
        <w:tc>
          <w:tcPr>
            <w:tcW w:w="907" w:type="dxa"/>
            <w:tcBorders>
              <w:top w:val="nil"/>
              <w:left w:val="nil"/>
              <w:bottom w:val="nil"/>
              <w:right w:val="nil"/>
            </w:tcBorders>
          </w:tcPr>
          <w:p>
            <w:pPr>
              <w:pStyle w:val="0"/>
              <w:jc w:val="center"/>
            </w:pPr>
            <w:r>
              <w:rPr>
                <w:sz w:val="20"/>
              </w:rPr>
              <w:t xml:space="preserve">58245</w:t>
            </w:r>
          </w:p>
        </w:tc>
        <w:tc>
          <w:tcPr>
            <w:tcW w:w="907" w:type="dxa"/>
            <w:tcBorders>
              <w:top w:val="nil"/>
              <w:left w:val="nil"/>
              <w:bottom w:val="nil"/>
              <w:right w:val="nil"/>
            </w:tcBorders>
          </w:tcPr>
          <w:p>
            <w:pPr>
              <w:pStyle w:val="0"/>
              <w:jc w:val="center"/>
            </w:pPr>
            <w:r>
              <w:rPr>
                <w:sz w:val="20"/>
              </w:rPr>
              <w:t xml:space="preserve">82088</w:t>
            </w:r>
          </w:p>
        </w:tc>
        <w:tc>
          <w:tcPr>
            <w:tcW w:w="1303" w:type="dxa"/>
            <w:tcBorders>
              <w:top w:val="nil"/>
              <w:left w:val="nil"/>
              <w:bottom w:val="nil"/>
              <w:right w:val="nil"/>
            </w:tcBorders>
            <w:vMerge w:val="restart"/>
          </w:tcPr>
          <w:p>
            <w:pPr>
              <w:pStyle w:val="0"/>
              <w:jc w:val="center"/>
            </w:pPr>
            <w:r>
              <w:rPr>
                <w:sz w:val="20"/>
              </w:rPr>
              <w:t xml:space="preserve">Минстрой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17344</w:t>
            </w:r>
          </w:p>
        </w:tc>
        <w:tc>
          <w:tcPr>
            <w:tcW w:w="907" w:type="dxa"/>
            <w:tcBorders>
              <w:top w:val="nil"/>
              <w:left w:val="nil"/>
              <w:bottom w:val="nil"/>
              <w:right w:val="nil"/>
            </w:tcBorders>
          </w:tcPr>
          <w:p>
            <w:pPr>
              <w:pStyle w:val="0"/>
              <w:jc w:val="center"/>
            </w:pPr>
            <w:r>
              <w:rPr>
                <w:sz w:val="20"/>
              </w:rPr>
              <w:t xml:space="preserve">31121</w:t>
            </w:r>
          </w:p>
        </w:tc>
        <w:tc>
          <w:tcPr>
            <w:tcW w:w="907" w:type="dxa"/>
            <w:tcBorders>
              <w:top w:val="nil"/>
              <w:left w:val="nil"/>
              <w:bottom w:val="nil"/>
              <w:right w:val="nil"/>
            </w:tcBorders>
          </w:tcPr>
          <w:p>
            <w:pPr>
              <w:pStyle w:val="0"/>
              <w:jc w:val="center"/>
            </w:pPr>
            <w:r>
              <w:rPr>
                <w:sz w:val="20"/>
              </w:rPr>
              <w:t xml:space="preserve">62265</w:t>
            </w:r>
          </w:p>
        </w:tc>
        <w:tc>
          <w:tcPr>
            <w:tcW w:w="907" w:type="dxa"/>
            <w:tcBorders>
              <w:top w:val="nil"/>
              <w:left w:val="nil"/>
              <w:bottom w:val="nil"/>
              <w:right w:val="nil"/>
            </w:tcBorders>
          </w:tcPr>
          <w:p>
            <w:pPr>
              <w:pStyle w:val="0"/>
              <w:jc w:val="center"/>
            </w:pPr>
            <w:r>
              <w:rPr>
                <w:sz w:val="20"/>
              </w:rPr>
              <w:t xml:space="preserve">88265</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1.3.5.</w:t>
            </w:r>
          </w:p>
        </w:tc>
        <w:tc>
          <w:tcPr>
            <w:tcW w:w="3798" w:type="dxa"/>
            <w:tcBorders>
              <w:top w:val="nil"/>
              <w:left w:val="nil"/>
              <w:bottom w:val="nil"/>
              <w:right w:val="nil"/>
            </w:tcBorders>
            <w:vMerge w:val="restart"/>
          </w:tcPr>
          <w:p>
            <w:pPr>
              <w:pStyle w:val="0"/>
            </w:pPr>
            <w:r>
              <w:rPr>
                <w:sz w:val="20"/>
              </w:rPr>
              <w:t xml:space="preserve">Прирост доли населения, обеспеченного качественной питьевой водой из систем централизованного водоснабжения (нарастающим итогом к показателям федерального проекта "Чистая вода") </w:t>
            </w:r>
            <w:r>
              <w:rPr>
                <w:sz w:val="20"/>
              </w:rPr>
              <w:t xml:space="preserve">&lt;**&gt;</w:t>
            </w:r>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1,9</w:t>
            </w:r>
          </w:p>
        </w:tc>
        <w:tc>
          <w:tcPr>
            <w:tcW w:w="907" w:type="dxa"/>
            <w:tcBorders>
              <w:top w:val="nil"/>
              <w:left w:val="nil"/>
              <w:bottom w:val="nil"/>
              <w:right w:val="nil"/>
            </w:tcBorders>
          </w:tcPr>
          <w:p>
            <w:pPr>
              <w:pStyle w:val="0"/>
              <w:jc w:val="center"/>
            </w:pPr>
            <w:r>
              <w:rPr>
                <w:sz w:val="20"/>
              </w:rPr>
              <w:t xml:space="preserve">3,3</w:t>
            </w:r>
          </w:p>
        </w:tc>
        <w:tc>
          <w:tcPr>
            <w:tcW w:w="907" w:type="dxa"/>
            <w:tcBorders>
              <w:top w:val="nil"/>
              <w:left w:val="nil"/>
              <w:bottom w:val="nil"/>
              <w:right w:val="nil"/>
            </w:tcBorders>
          </w:tcPr>
          <w:p>
            <w:pPr>
              <w:pStyle w:val="0"/>
              <w:jc w:val="center"/>
            </w:pPr>
            <w:r>
              <w:rPr>
                <w:sz w:val="20"/>
              </w:rPr>
              <w:t xml:space="preserve">3,3</w:t>
            </w:r>
          </w:p>
        </w:tc>
        <w:tc>
          <w:tcPr>
            <w:tcW w:w="907" w:type="dxa"/>
            <w:tcBorders>
              <w:top w:val="nil"/>
              <w:left w:val="nil"/>
              <w:bottom w:val="nil"/>
              <w:right w:val="nil"/>
            </w:tcBorders>
          </w:tcPr>
          <w:p>
            <w:pPr>
              <w:pStyle w:val="0"/>
              <w:jc w:val="center"/>
            </w:pPr>
            <w:r>
              <w:rPr>
                <w:sz w:val="20"/>
              </w:rPr>
              <w:t xml:space="preserve">3,3</w:t>
            </w:r>
          </w:p>
        </w:tc>
        <w:tc>
          <w:tcPr>
            <w:tcW w:w="1303" w:type="dxa"/>
            <w:tcBorders>
              <w:top w:val="nil"/>
              <w:left w:val="nil"/>
              <w:bottom w:val="nil"/>
              <w:right w:val="nil"/>
            </w:tcBorders>
            <w:vMerge w:val="restart"/>
          </w:tcPr>
          <w:p>
            <w:pPr>
              <w:pStyle w:val="0"/>
              <w:jc w:val="center"/>
            </w:pPr>
            <w:r>
              <w:rPr>
                <w:sz w:val="20"/>
              </w:rPr>
              <w:t xml:space="preserve">Минстрой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1,9</w:t>
            </w:r>
          </w:p>
        </w:tc>
        <w:tc>
          <w:tcPr>
            <w:tcW w:w="907" w:type="dxa"/>
            <w:tcBorders>
              <w:top w:val="nil"/>
              <w:left w:val="nil"/>
              <w:bottom w:val="nil"/>
              <w:right w:val="nil"/>
            </w:tcBorders>
          </w:tcPr>
          <w:p>
            <w:pPr>
              <w:pStyle w:val="0"/>
              <w:jc w:val="center"/>
            </w:pPr>
            <w:r>
              <w:rPr>
                <w:sz w:val="20"/>
              </w:rPr>
              <w:t xml:space="preserve">3,7</w:t>
            </w:r>
          </w:p>
        </w:tc>
        <w:tc>
          <w:tcPr>
            <w:tcW w:w="907" w:type="dxa"/>
            <w:tcBorders>
              <w:top w:val="nil"/>
              <w:left w:val="nil"/>
              <w:bottom w:val="nil"/>
              <w:right w:val="nil"/>
            </w:tcBorders>
          </w:tcPr>
          <w:p>
            <w:pPr>
              <w:pStyle w:val="0"/>
              <w:jc w:val="center"/>
            </w:pPr>
            <w:r>
              <w:rPr>
                <w:sz w:val="20"/>
              </w:rPr>
              <w:t xml:space="preserve">7,9</w:t>
            </w:r>
          </w:p>
        </w:tc>
        <w:tc>
          <w:tcPr>
            <w:tcW w:w="907" w:type="dxa"/>
            <w:tcBorders>
              <w:top w:val="nil"/>
              <w:left w:val="nil"/>
              <w:bottom w:val="nil"/>
              <w:right w:val="nil"/>
            </w:tcBorders>
          </w:tcPr>
          <w:p>
            <w:pPr>
              <w:pStyle w:val="0"/>
              <w:jc w:val="center"/>
            </w:pPr>
            <w:r>
              <w:rPr>
                <w:sz w:val="20"/>
              </w:rPr>
              <w:t xml:space="preserve">12,2</w:t>
            </w:r>
          </w:p>
        </w:tc>
        <w:tc>
          <w:tcPr>
            <w:tcBorders>
              <w:top w:val="nil"/>
              <w:left w:val="nil"/>
              <w:bottom w:val="nil"/>
              <w:right w:val="nil"/>
            </w:tcBorders>
            <w:vMerge w:val="continue"/>
          </w:tcPr>
          <w:p/>
        </w:tc>
      </w:tr>
      <w:tr>
        <w:tc>
          <w:tcPr>
            <w:gridSpan w:val="9"/>
            <w:tcW w:w="11619" w:type="dxa"/>
            <w:tcBorders>
              <w:top w:val="nil"/>
              <w:left w:val="nil"/>
              <w:bottom w:val="nil"/>
              <w:right w:val="nil"/>
            </w:tcBorders>
          </w:tcPr>
          <w:p>
            <w:pPr>
              <w:pStyle w:val="0"/>
              <w:outlineLvl w:val="2"/>
              <w:jc w:val="center"/>
            </w:pPr>
            <w:r>
              <w:rPr>
                <w:sz w:val="20"/>
              </w:rPr>
              <w:t xml:space="preserve">2. Формирование высокотехнологичных, конкурентоспособных отраслей строительства и жилищно-коммунального хозяйства</w:t>
            </w:r>
          </w:p>
        </w:tc>
      </w:tr>
      <w:tr>
        <w:tc>
          <w:tcPr>
            <w:gridSpan w:val="9"/>
            <w:tcW w:w="11619" w:type="dxa"/>
            <w:tcBorders>
              <w:top w:val="nil"/>
              <w:left w:val="nil"/>
              <w:bottom w:val="nil"/>
              <w:right w:val="nil"/>
            </w:tcBorders>
          </w:tcPr>
          <w:p>
            <w:pPr>
              <w:pStyle w:val="0"/>
              <w:outlineLvl w:val="3"/>
              <w:jc w:val="center"/>
            </w:pPr>
            <w:r>
              <w:rPr>
                <w:sz w:val="20"/>
              </w:rPr>
              <w:t xml:space="preserve">2.1. Отрасль строительства</w:t>
            </w:r>
          </w:p>
        </w:tc>
      </w:tr>
      <w:tr>
        <w:tc>
          <w:tcPr>
            <w:tcW w:w="794" w:type="dxa"/>
            <w:tcBorders>
              <w:top w:val="nil"/>
              <w:left w:val="nil"/>
              <w:bottom w:val="nil"/>
              <w:right w:val="nil"/>
            </w:tcBorders>
            <w:vMerge w:val="restart"/>
          </w:tcPr>
          <w:p>
            <w:pPr>
              <w:pStyle w:val="0"/>
              <w:jc w:val="center"/>
            </w:pPr>
            <w:r>
              <w:rPr>
                <w:sz w:val="20"/>
              </w:rPr>
              <w:t xml:space="preserve">2.1.1.</w:t>
            </w:r>
          </w:p>
        </w:tc>
        <w:tc>
          <w:tcPr>
            <w:tcW w:w="3798" w:type="dxa"/>
            <w:tcBorders>
              <w:top w:val="nil"/>
              <w:left w:val="nil"/>
              <w:bottom w:val="nil"/>
              <w:right w:val="nil"/>
            </w:tcBorders>
            <w:vMerge w:val="restart"/>
          </w:tcPr>
          <w:p>
            <w:pPr>
              <w:pStyle w:val="0"/>
            </w:pPr>
            <w:r>
              <w:rPr>
                <w:sz w:val="20"/>
              </w:rPr>
              <w:t xml:space="preserve">Объем гражданского и промышленного строительства (административные, коммерческие, социальные и другие объекты, кроме жилья)</w:t>
            </w:r>
          </w:p>
        </w:tc>
        <w:tc>
          <w:tcPr>
            <w:tcW w:w="1303" w:type="dxa"/>
            <w:tcBorders>
              <w:top w:val="nil"/>
              <w:left w:val="nil"/>
              <w:bottom w:val="nil"/>
              <w:right w:val="nil"/>
            </w:tcBorders>
            <w:vMerge w:val="restart"/>
          </w:tcPr>
          <w:p>
            <w:pPr>
              <w:pStyle w:val="0"/>
              <w:jc w:val="center"/>
            </w:pPr>
            <w:r>
              <w:rPr>
                <w:sz w:val="20"/>
              </w:rPr>
              <w:t xml:space="preserve">млн. кв. метров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34</w:t>
            </w:r>
          </w:p>
        </w:tc>
        <w:tc>
          <w:tcPr>
            <w:tcW w:w="907" w:type="dxa"/>
            <w:tcBorders>
              <w:top w:val="nil"/>
              <w:left w:val="nil"/>
              <w:bottom w:val="nil"/>
              <w:right w:val="nil"/>
            </w:tcBorders>
          </w:tcPr>
          <w:p>
            <w:pPr>
              <w:pStyle w:val="0"/>
              <w:jc w:val="center"/>
            </w:pPr>
            <w:r>
              <w:rPr>
                <w:sz w:val="20"/>
              </w:rPr>
              <w:t xml:space="preserve">21,4</w:t>
            </w:r>
          </w:p>
        </w:tc>
        <w:tc>
          <w:tcPr>
            <w:tcW w:w="907" w:type="dxa"/>
            <w:tcBorders>
              <w:top w:val="nil"/>
              <w:left w:val="nil"/>
              <w:bottom w:val="nil"/>
              <w:right w:val="nil"/>
            </w:tcBorders>
          </w:tcPr>
          <w:p>
            <w:pPr>
              <w:pStyle w:val="0"/>
              <w:jc w:val="center"/>
            </w:pPr>
            <w:r>
              <w:rPr>
                <w:sz w:val="20"/>
              </w:rPr>
              <w:t xml:space="preserve">26,2</w:t>
            </w:r>
          </w:p>
        </w:tc>
        <w:tc>
          <w:tcPr>
            <w:tcW w:w="907" w:type="dxa"/>
            <w:tcBorders>
              <w:top w:val="nil"/>
              <w:left w:val="nil"/>
              <w:bottom w:val="nil"/>
              <w:right w:val="nil"/>
            </w:tcBorders>
          </w:tcPr>
          <w:p>
            <w:pPr>
              <w:pStyle w:val="0"/>
              <w:jc w:val="center"/>
            </w:pPr>
            <w:r>
              <w:rPr>
                <w:sz w:val="20"/>
              </w:rPr>
              <w:t xml:space="preserve">33,5</w:t>
            </w:r>
          </w:p>
        </w:tc>
        <w:tc>
          <w:tcPr>
            <w:tcW w:w="1303" w:type="dxa"/>
            <w:tcBorders>
              <w:top w:val="nil"/>
              <w:left w:val="nil"/>
              <w:bottom w:val="nil"/>
              <w:right w:val="nil"/>
            </w:tcBorders>
            <w:vMerge w:val="restart"/>
          </w:tcPr>
          <w:p>
            <w:pPr>
              <w:pStyle w:val="0"/>
              <w:jc w:val="center"/>
            </w:pPr>
            <w:r>
              <w:rPr>
                <w:sz w:val="20"/>
              </w:rPr>
              <w:t xml:space="preserve">Росстат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34</w:t>
            </w:r>
          </w:p>
        </w:tc>
        <w:tc>
          <w:tcPr>
            <w:tcW w:w="907" w:type="dxa"/>
            <w:tcBorders>
              <w:top w:val="nil"/>
              <w:left w:val="nil"/>
              <w:bottom w:val="nil"/>
              <w:right w:val="nil"/>
            </w:tcBorders>
          </w:tcPr>
          <w:p>
            <w:pPr>
              <w:pStyle w:val="0"/>
              <w:jc w:val="center"/>
            </w:pPr>
            <w:r>
              <w:rPr>
                <w:sz w:val="20"/>
              </w:rPr>
              <w:t xml:space="preserve">27,1</w:t>
            </w:r>
          </w:p>
        </w:tc>
        <w:tc>
          <w:tcPr>
            <w:tcW w:w="907" w:type="dxa"/>
            <w:tcBorders>
              <w:top w:val="nil"/>
              <w:left w:val="nil"/>
              <w:bottom w:val="nil"/>
              <w:right w:val="nil"/>
            </w:tcBorders>
          </w:tcPr>
          <w:p>
            <w:pPr>
              <w:pStyle w:val="0"/>
              <w:jc w:val="center"/>
            </w:pPr>
            <w:r>
              <w:rPr>
                <w:sz w:val="20"/>
              </w:rPr>
              <w:t xml:space="preserve">34,3</w:t>
            </w:r>
          </w:p>
        </w:tc>
        <w:tc>
          <w:tcPr>
            <w:tcW w:w="907" w:type="dxa"/>
            <w:tcBorders>
              <w:top w:val="nil"/>
              <w:left w:val="nil"/>
              <w:bottom w:val="nil"/>
              <w:right w:val="nil"/>
            </w:tcBorders>
          </w:tcPr>
          <w:p>
            <w:pPr>
              <w:pStyle w:val="0"/>
              <w:jc w:val="center"/>
            </w:pPr>
            <w:r>
              <w:rPr>
                <w:sz w:val="20"/>
              </w:rPr>
              <w:t xml:space="preserve">36</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2.1.2.</w:t>
            </w:r>
          </w:p>
        </w:tc>
        <w:tc>
          <w:tcPr>
            <w:tcW w:w="3798" w:type="dxa"/>
            <w:tcBorders>
              <w:top w:val="nil"/>
              <w:left w:val="nil"/>
              <w:bottom w:val="nil"/>
              <w:right w:val="nil"/>
            </w:tcBorders>
            <w:vMerge w:val="restart"/>
          </w:tcPr>
          <w:p>
            <w:pPr>
              <w:pStyle w:val="0"/>
            </w:pPr>
            <w:r>
              <w:rPr>
                <w:sz w:val="20"/>
              </w:rPr>
              <w:t xml:space="preserve">Сокращено количество документов, сведений, материалов, согласований в строительстве</w:t>
            </w:r>
          </w:p>
        </w:tc>
        <w:tc>
          <w:tcPr>
            <w:tcW w:w="1303" w:type="dxa"/>
            <w:tcBorders>
              <w:top w:val="nil"/>
              <w:left w:val="nil"/>
              <w:bottom w:val="nil"/>
              <w:right w:val="nil"/>
            </w:tcBorders>
            <w:vMerge w:val="restart"/>
          </w:tcPr>
          <w:p>
            <w:pPr>
              <w:pStyle w:val="0"/>
              <w:jc w:val="center"/>
            </w:pPr>
            <w:r>
              <w:rPr>
                <w:sz w:val="20"/>
              </w:rPr>
              <w:t xml:space="preserve">штук</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989</w:t>
            </w:r>
          </w:p>
        </w:tc>
        <w:tc>
          <w:tcPr>
            <w:tcW w:w="907" w:type="dxa"/>
            <w:tcBorders>
              <w:top w:val="nil"/>
              <w:left w:val="nil"/>
              <w:bottom w:val="nil"/>
              <w:right w:val="nil"/>
            </w:tcBorders>
          </w:tcPr>
          <w:p>
            <w:pPr>
              <w:pStyle w:val="0"/>
              <w:jc w:val="center"/>
            </w:pPr>
            <w:r>
              <w:rPr>
                <w:sz w:val="20"/>
              </w:rPr>
              <w:t xml:space="preserve">650</w:t>
            </w:r>
          </w:p>
        </w:tc>
        <w:tc>
          <w:tcPr>
            <w:tcW w:w="907" w:type="dxa"/>
            <w:tcBorders>
              <w:top w:val="nil"/>
              <w:left w:val="nil"/>
              <w:bottom w:val="nil"/>
              <w:right w:val="nil"/>
            </w:tcBorders>
          </w:tcPr>
          <w:p>
            <w:pPr>
              <w:pStyle w:val="0"/>
              <w:jc w:val="center"/>
            </w:pPr>
            <w:r>
              <w:rPr>
                <w:sz w:val="20"/>
              </w:rPr>
              <w:t xml:space="preserve">350</w:t>
            </w:r>
          </w:p>
        </w:tc>
        <w:tc>
          <w:tcPr>
            <w:tcW w:w="907" w:type="dxa"/>
            <w:tcBorders>
              <w:top w:val="nil"/>
              <w:left w:val="nil"/>
              <w:bottom w:val="nil"/>
              <w:right w:val="nil"/>
            </w:tcBorders>
          </w:tcPr>
          <w:p>
            <w:pPr>
              <w:pStyle w:val="0"/>
              <w:jc w:val="center"/>
            </w:pPr>
            <w:r>
              <w:rPr>
                <w:sz w:val="20"/>
              </w:rPr>
              <w:t xml:space="preserve">-</w:t>
            </w:r>
          </w:p>
        </w:tc>
        <w:tc>
          <w:tcPr>
            <w:tcW w:w="1303" w:type="dxa"/>
            <w:tcBorders>
              <w:top w:val="nil"/>
              <w:left w:val="nil"/>
              <w:bottom w:val="nil"/>
              <w:right w:val="nil"/>
            </w:tcBorders>
            <w:vMerge w:val="restart"/>
          </w:tcPr>
          <w:p>
            <w:pPr>
              <w:pStyle w:val="0"/>
              <w:jc w:val="center"/>
            </w:pPr>
            <w:r>
              <w:rPr>
                <w:sz w:val="20"/>
              </w:rPr>
              <w:t xml:space="preserve">Минстрой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989</w:t>
            </w:r>
          </w:p>
        </w:tc>
        <w:tc>
          <w:tcPr>
            <w:tcW w:w="907" w:type="dxa"/>
            <w:tcBorders>
              <w:top w:val="nil"/>
              <w:left w:val="nil"/>
              <w:bottom w:val="nil"/>
              <w:right w:val="nil"/>
            </w:tcBorders>
          </w:tcPr>
          <w:p>
            <w:pPr>
              <w:pStyle w:val="0"/>
              <w:jc w:val="center"/>
            </w:pPr>
            <w:r>
              <w:rPr>
                <w:sz w:val="20"/>
              </w:rPr>
              <w:t xml:space="preserve">600</w:t>
            </w:r>
          </w:p>
        </w:tc>
        <w:tc>
          <w:tcPr>
            <w:tcW w:w="907" w:type="dxa"/>
            <w:tcBorders>
              <w:top w:val="nil"/>
              <w:left w:val="nil"/>
              <w:bottom w:val="nil"/>
              <w:right w:val="nil"/>
            </w:tcBorders>
          </w:tcPr>
          <w:p>
            <w:pPr>
              <w:pStyle w:val="0"/>
              <w:jc w:val="center"/>
            </w:pPr>
            <w:r>
              <w:rPr>
                <w:sz w:val="20"/>
              </w:rPr>
              <w:t xml:space="preserve">350</w:t>
            </w:r>
          </w:p>
        </w:tc>
        <w:tc>
          <w:tcPr>
            <w:tcW w:w="907" w:type="dxa"/>
            <w:tcBorders>
              <w:top w:val="nil"/>
              <w:left w:val="nil"/>
              <w:bottom w:val="nil"/>
              <w:right w:val="nil"/>
            </w:tcBorders>
          </w:tcPr>
          <w:p>
            <w:pPr>
              <w:pStyle w:val="0"/>
              <w:jc w:val="center"/>
            </w:pPr>
            <w:r>
              <w:rPr>
                <w:sz w:val="20"/>
              </w:rPr>
              <w:t xml:space="preserve">-</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2.1.3.</w:t>
            </w:r>
          </w:p>
        </w:tc>
        <w:tc>
          <w:tcPr>
            <w:tcW w:w="3798" w:type="dxa"/>
            <w:tcBorders>
              <w:top w:val="nil"/>
              <w:left w:val="nil"/>
              <w:bottom w:val="nil"/>
              <w:right w:val="nil"/>
            </w:tcBorders>
            <w:vMerge w:val="restart"/>
          </w:tcPr>
          <w:p>
            <w:pPr>
              <w:pStyle w:val="0"/>
            </w:pPr>
            <w:r>
              <w:rPr>
                <w:sz w:val="20"/>
              </w:rPr>
              <w:t xml:space="preserve">Индекс физического объема валовой добавленной стоимости по виду экономической деятельности "Строительство" к 2021 году </w:t>
            </w:r>
            <w:r>
              <w:rPr>
                <w:sz w:val="20"/>
              </w:rPr>
              <w:t xml:space="preserve">&lt;**&gt;</w:t>
            </w:r>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96,4</w:t>
            </w:r>
          </w:p>
        </w:tc>
        <w:tc>
          <w:tcPr>
            <w:tcW w:w="907" w:type="dxa"/>
            <w:tcBorders>
              <w:top w:val="nil"/>
              <w:left w:val="nil"/>
              <w:bottom w:val="nil"/>
              <w:right w:val="nil"/>
            </w:tcBorders>
          </w:tcPr>
          <w:p>
            <w:pPr>
              <w:pStyle w:val="0"/>
              <w:jc w:val="center"/>
            </w:pPr>
            <w:r>
              <w:rPr>
                <w:sz w:val="20"/>
              </w:rPr>
              <w:t xml:space="preserve">112,5</w:t>
            </w:r>
          </w:p>
        </w:tc>
        <w:tc>
          <w:tcPr>
            <w:tcW w:w="907" w:type="dxa"/>
            <w:tcBorders>
              <w:top w:val="nil"/>
              <w:left w:val="nil"/>
              <w:bottom w:val="nil"/>
              <w:right w:val="nil"/>
            </w:tcBorders>
          </w:tcPr>
          <w:p>
            <w:pPr>
              <w:pStyle w:val="0"/>
              <w:jc w:val="center"/>
            </w:pPr>
            <w:r>
              <w:rPr>
                <w:sz w:val="20"/>
              </w:rPr>
              <w:t xml:space="preserve">124,5</w:t>
            </w:r>
          </w:p>
        </w:tc>
        <w:tc>
          <w:tcPr>
            <w:tcW w:w="1303" w:type="dxa"/>
            <w:tcBorders>
              <w:top w:val="nil"/>
              <w:left w:val="nil"/>
              <w:bottom w:val="nil"/>
              <w:right w:val="nil"/>
            </w:tcBorders>
            <w:vMerge w:val="restart"/>
          </w:tcPr>
          <w:p>
            <w:pPr>
              <w:pStyle w:val="0"/>
              <w:jc w:val="center"/>
            </w:pPr>
            <w:r>
              <w:rPr>
                <w:sz w:val="20"/>
              </w:rPr>
              <w:t xml:space="preserve">Росстат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103,6</w:t>
            </w:r>
          </w:p>
        </w:tc>
        <w:tc>
          <w:tcPr>
            <w:tcW w:w="907" w:type="dxa"/>
            <w:tcBorders>
              <w:top w:val="nil"/>
              <w:left w:val="nil"/>
              <w:bottom w:val="nil"/>
              <w:right w:val="nil"/>
            </w:tcBorders>
          </w:tcPr>
          <w:p>
            <w:pPr>
              <w:pStyle w:val="0"/>
              <w:jc w:val="center"/>
            </w:pPr>
            <w:r>
              <w:rPr>
                <w:sz w:val="20"/>
              </w:rPr>
              <w:t xml:space="preserve">128,2</w:t>
            </w:r>
          </w:p>
        </w:tc>
        <w:tc>
          <w:tcPr>
            <w:tcW w:w="907" w:type="dxa"/>
            <w:tcBorders>
              <w:top w:val="nil"/>
              <w:left w:val="nil"/>
              <w:bottom w:val="nil"/>
              <w:right w:val="nil"/>
            </w:tcBorders>
          </w:tcPr>
          <w:p>
            <w:pPr>
              <w:pStyle w:val="0"/>
              <w:jc w:val="center"/>
            </w:pPr>
            <w:r>
              <w:rPr>
                <w:sz w:val="20"/>
              </w:rPr>
              <w:t xml:space="preserve">146,4</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2.1.4.</w:t>
            </w:r>
          </w:p>
        </w:tc>
        <w:tc>
          <w:tcPr>
            <w:tcW w:w="3798" w:type="dxa"/>
            <w:tcBorders>
              <w:top w:val="nil"/>
              <w:left w:val="nil"/>
              <w:bottom w:val="nil"/>
              <w:right w:val="nil"/>
            </w:tcBorders>
            <w:vMerge w:val="restart"/>
          </w:tcPr>
          <w:p>
            <w:pPr>
              <w:pStyle w:val="0"/>
            </w:pPr>
            <w:r>
              <w:rPr>
                <w:sz w:val="20"/>
              </w:rPr>
              <w:t xml:space="preserve">Индекс физического объема инвестиций в основной капитал по виду экономической деятельности "Строительство" к 2021 году </w:t>
            </w:r>
            <w:r>
              <w:rPr>
                <w:sz w:val="20"/>
              </w:rPr>
              <w:t xml:space="preserve">&lt;*&gt;</w:t>
            </w:r>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96</w:t>
            </w:r>
          </w:p>
        </w:tc>
        <w:tc>
          <w:tcPr>
            <w:tcW w:w="907" w:type="dxa"/>
            <w:tcBorders>
              <w:top w:val="nil"/>
              <w:left w:val="nil"/>
              <w:bottom w:val="nil"/>
              <w:right w:val="nil"/>
            </w:tcBorders>
          </w:tcPr>
          <w:p>
            <w:pPr>
              <w:pStyle w:val="0"/>
              <w:jc w:val="center"/>
            </w:pPr>
            <w:r>
              <w:rPr>
                <w:sz w:val="20"/>
              </w:rPr>
              <w:t xml:space="preserve">108,3</w:t>
            </w:r>
          </w:p>
        </w:tc>
        <w:tc>
          <w:tcPr>
            <w:tcW w:w="907" w:type="dxa"/>
            <w:tcBorders>
              <w:top w:val="nil"/>
              <w:left w:val="nil"/>
              <w:bottom w:val="nil"/>
              <w:right w:val="nil"/>
            </w:tcBorders>
          </w:tcPr>
          <w:p>
            <w:pPr>
              <w:pStyle w:val="0"/>
              <w:jc w:val="center"/>
            </w:pPr>
            <w:r>
              <w:rPr>
                <w:sz w:val="20"/>
              </w:rPr>
              <w:t xml:space="preserve">118,6</w:t>
            </w:r>
          </w:p>
        </w:tc>
        <w:tc>
          <w:tcPr>
            <w:tcW w:w="1303" w:type="dxa"/>
            <w:tcBorders>
              <w:top w:val="nil"/>
              <w:left w:val="nil"/>
              <w:bottom w:val="nil"/>
              <w:right w:val="nil"/>
            </w:tcBorders>
            <w:vMerge w:val="restart"/>
          </w:tcPr>
          <w:p>
            <w:pPr>
              <w:pStyle w:val="0"/>
              <w:jc w:val="center"/>
            </w:pPr>
            <w:r>
              <w:rPr>
                <w:sz w:val="20"/>
              </w:rPr>
              <w:t xml:space="preserve">Росстат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102</w:t>
            </w:r>
          </w:p>
        </w:tc>
        <w:tc>
          <w:tcPr>
            <w:tcW w:w="907" w:type="dxa"/>
            <w:tcBorders>
              <w:top w:val="nil"/>
              <w:left w:val="nil"/>
              <w:bottom w:val="nil"/>
              <w:right w:val="nil"/>
            </w:tcBorders>
          </w:tcPr>
          <w:p>
            <w:pPr>
              <w:pStyle w:val="0"/>
              <w:jc w:val="center"/>
            </w:pPr>
            <w:r>
              <w:rPr>
                <w:sz w:val="20"/>
              </w:rPr>
              <w:t xml:space="preserve">132,1</w:t>
            </w:r>
          </w:p>
        </w:tc>
        <w:tc>
          <w:tcPr>
            <w:tcW w:w="907" w:type="dxa"/>
            <w:tcBorders>
              <w:top w:val="nil"/>
              <w:left w:val="nil"/>
              <w:bottom w:val="nil"/>
              <w:right w:val="nil"/>
            </w:tcBorders>
          </w:tcPr>
          <w:p>
            <w:pPr>
              <w:pStyle w:val="0"/>
              <w:jc w:val="center"/>
            </w:pPr>
            <w:r>
              <w:rPr>
                <w:sz w:val="20"/>
              </w:rPr>
              <w:t xml:space="preserve">154,9</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2.1.5.</w:t>
            </w:r>
          </w:p>
        </w:tc>
        <w:tc>
          <w:tcPr>
            <w:tcW w:w="3798" w:type="dxa"/>
            <w:tcBorders>
              <w:top w:val="nil"/>
              <w:left w:val="nil"/>
              <w:bottom w:val="nil"/>
              <w:right w:val="nil"/>
            </w:tcBorders>
            <w:vMerge w:val="restart"/>
          </w:tcPr>
          <w:p>
            <w:pPr>
              <w:pStyle w:val="0"/>
            </w:pPr>
            <w:r>
              <w:rPr>
                <w:sz w:val="20"/>
              </w:rPr>
              <w:t xml:space="preserve">Доля в строительной отрасли в налогах </w:t>
            </w:r>
            <w:r>
              <w:rPr>
                <w:sz w:val="20"/>
              </w:rPr>
              <w:t xml:space="preserve">&lt;**&gt;</w:t>
            </w:r>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7,2</w:t>
            </w:r>
          </w:p>
        </w:tc>
        <w:tc>
          <w:tcPr>
            <w:tcW w:w="907" w:type="dxa"/>
            <w:tcBorders>
              <w:top w:val="nil"/>
              <w:left w:val="nil"/>
              <w:bottom w:val="nil"/>
              <w:right w:val="nil"/>
            </w:tcBorders>
          </w:tcPr>
          <w:p>
            <w:pPr>
              <w:pStyle w:val="0"/>
              <w:jc w:val="center"/>
            </w:pPr>
            <w:r>
              <w:rPr>
                <w:sz w:val="20"/>
              </w:rPr>
              <w:t xml:space="preserve">4</w:t>
            </w:r>
          </w:p>
        </w:tc>
        <w:tc>
          <w:tcPr>
            <w:tcW w:w="907" w:type="dxa"/>
            <w:tcBorders>
              <w:top w:val="nil"/>
              <w:left w:val="nil"/>
              <w:bottom w:val="nil"/>
              <w:right w:val="nil"/>
            </w:tcBorders>
          </w:tcPr>
          <w:p>
            <w:pPr>
              <w:pStyle w:val="0"/>
              <w:jc w:val="center"/>
            </w:pPr>
            <w:r>
              <w:rPr>
                <w:sz w:val="20"/>
              </w:rPr>
              <w:t xml:space="preserve">4,6</w:t>
            </w:r>
          </w:p>
        </w:tc>
        <w:tc>
          <w:tcPr>
            <w:tcW w:w="907" w:type="dxa"/>
            <w:tcBorders>
              <w:top w:val="nil"/>
              <w:left w:val="nil"/>
              <w:bottom w:val="nil"/>
              <w:right w:val="nil"/>
            </w:tcBorders>
          </w:tcPr>
          <w:p>
            <w:pPr>
              <w:pStyle w:val="0"/>
              <w:jc w:val="center"/>
            </w:pPr>
            <w:r>
              <w:rPr>
                <w:sz w:val="20"/>
              </w:rPr>
              <w:t xml:space="preserve">4,6</w:t>
            </w:r>
          </w:p>
        </w:tc>
        <w:tc>
          <w:tcPr>
            <w:tcW w:w="1303" w:type="dxa"/>
            <w:tcBorders>
              <w:top w:val="nil"/>
              <w:left w:val="nil"/>
              <w:bottom w:val="nil"/>
              <w:right w:val="nil"/>
            </w:tcBorders>
            <w:vMerge w:val="restart"/>
          </w:tcPr>
          <w:p>
            <w:pPr>
              <w:pStyle w:val="0"/>
              <w:jc w:val="center"/>
            </w:pPr>
            <w:r>
              <w:rPr>
                <w:sz w:val="20"/>
              </w:rPr>
              <w:t xml:space="preserve">ФНС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7,2</w:t>
            </w:r>
          </w:p>
        </w:tc>
        <w:tc>
          <w:tcPr>
            <w:tcW w:w="907" w:type="dxa"/>
            <w:tcBorders>
              <w:top w:val="nil"/>
              <w:left w:val="nil"/>
              <w:bottom w:val="nil"/>
              <w:right w:val="nil"/>
            </w:tcBorders>
          </w:tcPr>
          <w:p>
            <w:pPr>
              <w:pStyle w:val="0"/>
              <w:jc w:val="center"/>
            </w:pPr>
            <w:r>
              <w:rPr>
                <w:sz w:val="20"/>
              </w:rPr>
              <w:t xml:space="preserve">7,8</w:t>
            </w:r>
          </w:p>
        </w:tc>
        <w:tc>
          <w:tcPr>
            <w:tcW w:w="907" w:type="dxa"/>
            <w:tcBorders>
              <w:top w:val="nil"/>
              <w:left w:val="nil"/>
              <w:bottom w:val="nil"/>
              <w:right w:val="nil"/>
            </w:tcBorders>
          </w:tcPr>
          <w:p>
            <w:pPr>
              <w:pStyle w:val="0"/>
              <w:jc w:val="center"/>
            </w:pPr>
            <w:r>
              <w:rPr>
                <w:sz w:val="20"/>
              </w:rPr>
              <w:t xml:space="preserve">8,8</w:t>
            </w:r>
          </w:p>
        </w:tc>
        <w:tc>
          <w:tcPr>
            <w:tcW w:w="907" w:type="dxa"/>
            <w:tcBorders>
              <w:top w:val="nil"/>
              <w:left w:val="nil"/>
              <w:bottom w:val="nil"/>
              <w:right w:val="nil"/>
            </w:tcBorders>
          </w:tcPr>
          <w:p>
            <w:pPr>
              <w:pStyle w:val="0"/>
              <w:jc w:val="center"/>
            </w:pPr>
            <w:r>
              <w:rPr>
                <w:sz w:val="20"/>
              </w:rPr>
              <w:t xml:space="preserve">9,3</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2.1.6.</w:t>
            </w:r>
          </w:p>
        </w:tc>
        <w:tc>
          <w:tcPr>
            <w:tcW w:w="3798" w:type="dxa"/>
            <w:tcBorders>
              <w:top w:val="nil"/>
              <w:left w:val="nil"/>
              <w:bottom w:val="nil"/>
              <w:right w:val="nil"/>
            </w:tcBorders>
            <w:vMerge w:val="restart"/>
          </w:tcPr>
          <w:p>
            <w:pPr>
              <w:pStyle w:val="0"/>
            </w:pPr>
            <w:r>
              <w:rPr>
                <w:sz w:val="20"/>
              </w:rPr>
              <w:t xml:space="preserve">Численность занятых в строительной отрасли </w:t>
            </w:r>
            <w:r>
              <w:rPr>
                <w:sz w:val="20"/>
              </w:rPr>
              <w:t xml:space="preserve">&lt;**&gt;</w:t>
            </w:r>
          </w:p>
        </w:tc>
        <w:tc>
          <w:tcPr>
            <w:tcW w:w="1303" w:type="dxa"/>
            <w:tcBorders>
              <w:top w:val="nil"/>
              <w:left w:val="nil"/>
              <w:bottom w:val="nil"/>
              <w:right w:val="nil"/>
            </w:tcBorders>
            <w:vMerge w:val="restart"/>
          </w:tcPr>
          <w:p>
            <w:pPr>
              <w:pStyle w:val="0"/>
              <w:jc w:val="center"/>
            </w:pPr>
            <w:r>
              <w:rPr>
                <w:sz w:val="20"/>
              </w:rPr>
              <w:t xml:space="preserve">тыс. человек</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6496</w:t>
            </w:r>
          </w:p>
        </w:tc>
        <w:tc>
          <w:tcPr>
            <w:tcW w:w="907" w:type="dxa"/>
            <w:tcBorders>
              <w:top w:val="nil"/>
              <w:left w:val="nil"/>
              <w:bottom w:val="nil"/>
              <w:right w:val="nil"/>
            </w:tcBorders>
          </w:tcPr>
          <w:p>
            <w:pPr>
              <w:pStyle w:val="0"/>
              <w:jc w:val="center"/>
            </w:pPr>
            <w:r>
              <w:rPr>
                <w:sz w:val="20"/>
              </w:rPr>
              <w:t xml:space="preserve">6196</w:t>
            </w:r>
          </w:p>
        </w:tc>
        <w:tc>
          <w:tcPr>
            <w:tcW w:w="907" w:type="dxa"/>
            <w:tcBorders>
              <w:top w:val="nil"/>
              <w:left w:val="nil"/>
              <w:bottom w:val="nil"/>
              <w:right w:val="nil"/>
            </w:tcBorders>
          </w:tcPr>
          <w:p>
            <w:pPr>
              <w:pStyle w:val="0"/>
              <w:jc w:val="center"/>
            </w:pPr>
            <w:r>
              <w:rPr>
                <w:sz w:val="20"/>
              </w:rPr>
              <w:t xml:space="preserve">6517</w:t>
            </w:r>
          </w:p>
        </w:tc>
        <w:tc>
          <w:tcPr>
            <w:tcW w:w="907" w:type="dxa"/>
            <w:tcBorders>
              <w:top w:val="nil"/>
              <w:left w:val="nil"/>
              <w:bottom w:val="nil"/>
              <w:right w:val="nil"/>
            </w:tcBorders>
          </w:tcPr>
          <w:p>
            <w:pPr>
              <w:pStyle w:val="0"/>
              <w:jc w:val="center"/>
            </w:pPr>
            <w:r>
              <w:rPr>
                <w:sz w:val="20"/>
              </w:rPr>
              <w:t xml:space="preserve">6890</w:t>
            </w:r>
          </w:p>
        </w:tc>
        <w:tc>
          <w:tcPr>
            <w:tcW w:w="1303" w:type="dxa"/>
            <w:tcBorders>
              <w:top w:val="nil"/>
              <w:left w:val="nil"/>
              <w:bottom w:val="nil"/>
              <w:right w:val="nil"/>
            </w:tcBorders>
            <w:vMerge w:val="restart"/>
          </w:tcPr>
          <w:p>
            <w:pPr>
              <w:pStyle w:val="0"/>
              <w:jc w:val="center"/>
            </w:pPr>
            <w:r>
              <w:rPr>
                <w:sz w:val="20"/>
              </w:rPr>
              <w:t xml:space="preserve">Росстат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6496</w:t>
            </w:r>
          </w:p>
        </w:tc>
        <w:tc>
          <w:tcPr>
            <w:tcW w:w="907" w:type="dxa"/>
            <w:tcBorders>
              <w:top w:val="nil"/>
              <w:left w:val="nil"/>
              <w:bottom w:val="nil"/>
              <w:right w:val="nil"/>
            </w:tcBorders>
          </w:tcPr>
          <w:p>
            <w:pPr>
              <w:pStyle w:val="0"/>
              <w:jc w:val="center"/>
            </w:pPr>
            <w:r>
              <w:rPr>
                <w:sz w:val="20"/>
              </w:rPr>
              <w:t xml:space="preserve">6528</w:t>
            </w:r>
          </w:p>
        </w:tc>
        <w:tc>
          <w:tcPr>
            <w:tcW w:w="907" w:type="dxa"/>
            <w:tcBorders>
              <w:top w:val="nil"/>
              <w:left w:val="nil"/>
              <w:bottom w:val="nil"/>
              <w:right w:val="nil"/>
            </w:tcBorders>
          </w:tcPr>
          <w:p>
            <w:pPr>
              <w:pStyle w:val="0"/>
              <w:jc w:val="center"/>
            </w:pPr>
            <w:r>
              <w:rPr>
                <w:sz w:val="20"/>
              </w:rPr>
              <w:t xml:space="preserve">6841</w:t>
            </w:r>
          </w:p>
        </w:tc>
        <w:tc>
          <w:tcPr>
            <w:tcW w:w="907" w:type="dxa"/>
            <w:tcBorders>
              <w:top w:val="nil"/>
              <w:left w:val="nil"/>
              <w:bottom w:val="nil"/>
              <w:right w:val="nil"/>
            </w:tcBorders>
          </w:tcPr>
          <w:p>
            <w:pPr>
              <w:pStyle w:val="0"/>
              <w:jc w:val="center"/>
            </w:pPr>
            <w:r>
              <w:rPr>
                <w:sz w:val="20"/>
              </w:rPr>
              <w:t xml:space="preserve">7294</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2.1.7.</w:t>
            </w:r>
          </w:p>
        </w:tc>
        <w:tc>
          <w:tcPr>
            <w:tcW w:w="3798" w:type="dxa"/>
            <w:tcBorders>
              <w:top w:val="nil"/>
              <w:left w:val="nil"/>
              <w:bottom w:val="nil"/>
              <w:right w:val="nil"/>
            </w:tcBorders>
            <w:vMerge w:val="restart"/>
          </w:tcPr>
          <w:p>
            <w:pPr>
              <w:pStyle w:val="0"/>
            </w:pPr>
            <w:r>
              <w:rPr>
                <w:sz w:val="20"/>
              </w:rPr>
              <w:t xml:space="preserve">Производительность труда в строительной отрасли к 2021 году </w:t>
            </w:r>
            <w:r>
              <w:rPr>
                <w:sz w:val="20"/>
              </w:rPr>
              <w:t xml:space="preserve">&lt;**&gt;</w:t>
            </w:r>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101</w:t>
            </w:r>
          </w:p>
        </w:tc>
        <w:tc>
          <w:tcPr>
            <w:tcW w:w="907" w:type="dxa"/>
            <w:tcBorders>
              <w:top w:val="nil"/>
              <w:left w:val="nil"/>
              <w:bottom w:val="nil"/>
              <w:right w:val="nil"/>
            </w:tcBorders>
          </w:tcPr>
          <w:p>
            <w:pPr>
              <w:pStyle w:val="0"/>
              <w:jc w:val="center"/>
            </w:pPr>
            <w:r>
              <w:rPr>
                <w:sz w:val="20"/>
              </w:rPr>
              <w:t xml:space="preserve">112</w:t>
            </w:r>
          </w:p>
        </w:tc>
        <w:tc>
          <w:tcPr>
            <w:tcW w:w="907" w:type="dxa"/>
            <w:tcBorders>
              <w:top w:val="nil"/>
              <w:left w:val="nil"/>
              <w:bottom w:val="nil"/>
              <w:right w:val="nil"/>
            </w:tcBorders>
          </w:tcPr>
          <w:p>
            <w:pPr>
              <w:pStyle w:val="0"/>
              <w:jc w:val="center"/>
            </w:pPr>
            <w:r>
              <w:rPr>
                <w:sz w:val="20"/>
              </w:rPr>
              <w:t xml:space="preserve">117</w:t>
            </w:r>
          </w:p>
        </w:tc>
        <w:tc>
          <w:tcPr>
            <w:tcW w:w="1303" w:type="dxa"/>
            <w:tcBorders>
              <w:top w:val="nil"/>
              <w:left w:val="nil"/>
              <w:bottom w:val="nil"/>
              <w:right w:val="nil"/>
            </w:tcBorders>
            <w:vMerge w:val="restart"/>
          </w:tcPr>
          <w:p>
            <w:pPr>
              <w:pStyle w:val="0"/>
              <w:jc w:val="center"/>
            </w:pPr>
            <w:r>
              <w:rPr>
                <w:sz w:val="20"/>
              </w:rPr>
              <w:t xml:space="preserve">Росстат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103</w:t>
            </w:r>
          </w:p>
        </w:tc>
        <w:tc>
          <w:tcPr>
            <w:tcW w:w="907" w:type="dxa"/>
            <w:tcBorders>
              <w:top w:val="nil"/>
              <w:left w:val="nil"/>
              <w:bottom w:val="nil"/>
              <w:right w:val="nil"/>
            </w:tcBorders>
          </w:tcPr>
          <w:p>
            <w:pPr>
              <w:pStyle w:val="0"/>
              <w:jc w:val="center"/>
            </w:pPr>
            <w:r>
              <w:rPr>
                <w:sz w:val="20"/>
              </w:rPr>
              <w:t xml:space="preserve">122</w:t>
            </w:r>
          </w:p>
        </w:tc>
        <w:tc>
          <w:tcPr>
            <w:tcW w:w="907" w:type="dxa"/>
            <w:tcBorders>
              <w:top w:val="nil"/>
              <w:left w:val="nil"/>
              <w:bottom w:val="nil"/>
              <w:right w:val="nil"/>
            </w:tcBorders>
          </w:tcPr>
          <w:p>
            <w:pPr>
              <w:pStyle w:val="0"/>
              <w:jc w:val="center"/>
            </w:pPr>
            <w:r>
              <w:rPr>
                <w:sz w:val="20"/>
              </w:rPr>
              <w:t xml:space="preserve">130</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2.1.8.</w:t>
            </w:r>
          </w:p>
        </w:tc>
        <w:tc>
          <w:tcPr>
            <w:tcW w:w="3798" w:type="dxa"/>
            <w:tcBorders>
              <w:top w:val="nil"/>
              <w:left w:val="nil"/>
              <w:bottom w:val="nil"/>
              <w:right w:val="nil"/>
            </w:tcBorders>
            <w:vMerge w:val="restart"/>
          </w:tcPr>
          <w:p>
            <w:pPr>
              <w:pStyle w:val="0"/>
            </w:pPr>
            <w:r>
              <w:rPr>
                <w:sz w:val="20"/>
              </w:rPr>
              <w:t xml:space="preserve">Актуализированы действующие нормативно-технические документы для внедрения передовых технологий и установления ограничения на использование устаревших технологий в проектировании и строительстве</w:t>
            </w:r>
          </w:p>
        </w:tc>
        <w:tc>
          <w:tcPr>
            <w:tcW w:w="1303" w:type="dxa"/>
            <w:tcBorders>
              <w:top w:val="nil"/>
              <w:left w:val="nil"/>
              <w:bottom w:val="nil"/>
              <w:right w:val="nil"/>
            </w:tcBorders>
            <w:vMerge w:val="restart"/>
          </w:tcPr>
          <w:p>
            <w:pPr>
              <w:pStyle w:val="0"/>
              <w:jc w:val="center"/>
            </w:pPr>
            <w:r>
              <w:rPr>
                <w:sz w:val="20"/>
              </w:rPr>
              <w:t xml:space="preserve">единиц</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78</w:t>
            </w:r>
          </w:p>
        </w:tc>
        <w:tc>
          <w:tcPr>
            <w:tcW w:w="907" w:type="dxa"/>
            <w:tcBorders>
              <w:top w:val="nil"/>
              <w:left w:val="nil"/>
              <w:bottom w:val="nil"/>
              <w:right w:val="nil"/>
            </w:tcBorders>
          </w:tcPr>
          <w:p>
            <w:pPr>
              <w:pStyle w:val="0"/>
              <w:jc w:val="center"/>
            </w:pPr>
            <w:r>
              <w:rPr>
                <w:sz w:val="20"/>
              </w:rPr>
              <w:t xml:space="preserve">92</w:t>
            </w:r>
          </w:p>
        </w:tc>
        <w:tc>
          <w:tcPr>
            <w:tcW w:w="907" w:type="dxa"/>
            <w:tcBorders>
              <w:top w:val="nil"/>
              <w:left w:val="nil"/>
              <w:bottom w:val="nil"/>
              <w:right w:val="nil"/>
            </w:tcBorders>
          </w:tcPr>
          <w:p>
            <w:pPr>
              <w:pStyle w:val="0"/>
              <w:jc w:val="center"/>
            </w:pPr>
            <w:r>
              <w:rPr>
                <w:sz w:val="20"/>
              </w:rPr>
              <w:t xml:space="preserve">105</w:t>
            </w:r>
          </w:p>
        </w:tc>
        <w:tc>
          <w:tcPr>
            <w:tcW w:w="907" w:type="dxa"/>
            <w:tcBorders>
              <w:top w:val="nil"/>
              <w:left w:val="nil"/>
              <w:bottom w:val="nil"/>
              <w:right w:val="nil"/>
            </w:tcBorders>
          </w:tcPr>
          <w:p>
            <w:pPr>
              <w:pStyle w:val="0"/>
              <w:jc w:val="center"/>
            </w:pPr>
            <w:r>
              <w:rPr>
                <w:sz w:val="20"/>
              </w:rPr>
              <w:t xml:space="preserve">115</w:t>
            </w:r>
          </w:p>
        </w:tc>
        <w:tc>
          <w:tcPr>
            <w:tcW w:w="1303" w:type="dxa"/>
            <w:tcBorders>
              <w:top w:val="nil"/>
              <w:left w:val="nil"/>
              <w:bottom w:val="nil"/>
              <w:right w:val="nil"/>
            </w:tcBorders>
            <w:vMerge w:val="restart"/>
          </w:tcPr>
          <w:p>
            <w:pPr>
              <w:pStyle w:val="0"/>
              <w:jc w:val="center"/>
            </w:pPr>
            <w:r>
              <w:rPr>
                <w:sz w:val="20"/>
              </w:rPr>
              <w:t xml:space="preserve">Минстрой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78</w:t>
            </w:r>
          </w:p>
        </w:tc>
        <w:tc>
          <w:tcPr>
            <w:tcW w:w="907" w:type="dxa"/>
            <w:tcBorders>
              <w:top w:val="nil"/>
              <w:left w:val="nil"/>
              <w:bottom w:val="nil"/>
              <w:right w:val="nil"/>
            </w:tcBorders>
          </w:tcPr>
          <w:p>
            <w:pPr>
              <w:pStyle w:val="0"/>
              <w:jc w:val="center"/>
            </w:pPr>
            <w:r>
              <w:rPr>
                <w:sz w:val="20"/>
              </w:rPr>
              <w:t xml:space="preserve">104</w:t>
            </w:r>
          </w:p>
        </w:tc>
        <w:tc>
          <w:tcPr>
            <w:tcW w:w="907" w:type="dxa"/>
            <w:tcBorders>
              <w:top w:val="nil"/>
              <w:left w:val="nil"/>
              <w:bottom w:val="nil"/>
              <w:right w:val="nil"/>
            </w:tcBorders>
          </w:tcPr>
          <w:p>
            <w:pPr>
              <w:pStyle w:val="0"/>
              <w:jc w:val="center"/>
            </w:pPr>
            <w:r>
              <w:rPr>
                <w:sz w:val="20"/>
              </w:rPr>
              <w:t xml:space="preserve">115</w:t>
            </w:r>
          </w:p>
        </w:tc>
        <w:tc>
          <w:tcPr>
            <w:tcW w:w="907" w:type="dxa"/>
            <w:tcBorders>
              <w:top w:val="nil"/>
              <w:left w:val="nil"/>
              <w:bottom w:val="nil"/>
              <w:right w:val="nil"/>
            </w:tcBorders>
          </w:tcPr>
          <w:p>
            <w:pPr>
              <w:pStyle w:val="0"/>
              <w:jc w:val="center"/>
            </w:pPr>
            <w:r>
              <w:rPr>
                <w:sz w:val="20"/>
              </w:rPr>
              <w:t xml:space="preserve">135</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2.1.9.</w:t>
            </w:r>
          </w:p>
        </w:tc>
        <w:tc>
          <w:tcPr>
            <w:tcW w:w="3798" w:type="dxa"/>
            <w:tcBorders>
              <w:top w:val="nil"/>
              <w:left w:val="nil"/>
              <w:bottom w:val="nil"/>
              <w:right w:val="nil"/>
            </w:tcBorders>
            <w:vMerge w:val="restart"/>
          </w:tcPr>
          <w:p>
            <w:pPr>
              <w:pStyle w:val="0"/>
            </w:pPr>
            <w:r>
              <w:rPr>
                <w:sz w:val="20"/>
              </w:rPr>
              <w:t xml:space="preserve">Внедрены новые нормативно-технические документы в строительстве для осуществления поэтапного отказа от использования устаревших технологий в проектировании и строительстве</w:t>
            </w:r>
          </w:p>
        </w:tc>
        <w:tc>
          <w:tcPr>
            <w:tcW w:w="1303" w:type="dxa"/>
            <w:tcBorders>
              <w:top w:val="nil"/>
              <w:left w:val="nil"/>
              <w:bottom w:val="nil"/>
              <w:right w:val="nil"/>
            </w:tcBorders>
            <w:vMerge w:val="restart"/>
          </w:tcPr>
          <w:p>
            <w:pPr>
              <w:pStyle w:val="0"/>
              <w:jc w:val="center"/>
            </w:pPr>
            <w:r>
              <w:rPr>
                <w:sz w:val="20"/>
              </w:rPr>
              <w:t xml:space="preserve">единиц</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39</w:t>
            </w:r>
          </w:p>
        </w:tc>
        <w:tc>
          <w:tcPr>
            <w:tcW w:w="907" w:type="dxa"/>
            <w:tcBorders>
              <w:top w:val="nil"/>
              <w:left w:val="nil"/>
              <w:bottom w:val="nil"/>
              <w:right w:val="nil"/>
            </w:tcBorders>
          </w:tcPr>
          <w:p>
            <w:pPr>
              <w:pStyle w:val="0"/>
              <w:jc w:val="center"/>
            </w:pPr>
            <w:r>
              <w:rPr>
                <w:sz w:val="20"/>
              </w:rPr>
              <w:t xml:space="preserve">23</w:t>
            </w:r>
          </w:p>
        </w:tc>
        <w:tc>
          <w:tcPr>
            <w:tcW w:w="907" w:type="dxa"/>
            <w:tcBorders>
              <w:top w:val="nil"/>
              <w:left w:val="nil"/>
              <w:bottom w:val="nil"/>
              <w:right w:val="nil"/>
            </w:tcBorders>
          </w:tcPr>
          <w:p>
            <w:pPr>
              <w:pStyle w:val="0"/>
              <w:jc w:val="center"/>
            </w:pPr>
            <w:r>
              <w:rPr>
                <w:sz w:val="20"/>
              </w:rPr>
              <w:t xml:space="preserve">8</w:t>
            </w:r>
          </w:p>
        </w:tc>
        <w:tc>
          <w:tcPr>
            <w:tcW w:w="907" w:type="dxa"/>
            <w:tcBorders>
              <w:top w:val="nil"/>
              <w:left w:val="nil"/>
              <w:bottom w:val="nil"/>
              <w:right w:val="nil"/>
            </w:tcBorders>
          </w:tcPr>
          <w:p>
            <w:pPr>
              <w:pStyle w:val="0"/>
              <w:jc w:val="center"/>
            </w:pPr>
            <w:r>
              <w:rPr>
                <w:sz w:val="20"/>
              </w:rPr>
              <w:t xml:space="preserve">4</w:t>
            </w:r>
          </w:p>
        </w:tc>
        <w:tc>
          <w:tcPr>
            <w:tcW w:w="1303" w:type="dxa"/>
            <w:tcBorders>
              <w:top w:val="nil"/>
              <w:left w:val="nil"/>
              <w:bottom w:val="nil"/>
              <w:right w:val="nil"/>
            </w:tcBorders>
            <w:vMerge w:val="restart"/>
          </w:tcPr>
          <w:p>
            <w:pPr>
              <w:pStyle w:val="0"/>
              <w:jc w:val="center"/>
            </w:pPr>
            <w:r>
              <w:rPr>
                <w:sz w:val="20"/>
              </w:rPr>
              <w:t xml:space="preserve">Минстрой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39</w:t>
            </w:r>
          </w:p>
        </w:tc>
        <w:tc>
          <w:tcPr>
            <w:tcW w:w="907" w:type="dxa"/>
            <w:tcBorders>
              <w:top w:val="nil"/>
              <w:left w:val="nil"/>
              <w:bottom w:val="nil"/>
              <w:right w:val="nil"/>
            </w:tcBorders>
          </w:tcPr>
          <w:p>
            <w:pPr>
              <w:pStyle w:val="0"/>
              <w:jc w:val="center"/>
            </w:pPr>
            <w:r>
              <w:rPr>
                <w:sz w:val="20"/>
              </w:rPr>
              <w:t xml:space="preserve">28</w:t>
            </w:r>
          </w:p>
        </w:tc>
        <w:tc>
          <w:tcPr>
            <w:tcW w:w="907" w:type="dxa"/>
            <w:tcBorders>
              <w:top w:val="nil"/>
              <w:left w:val="nil"/>
              <w:bottom w:val="nil"/>
              <w:right w:val="nil"/>
            </w:tcBorders>
          </w:tcPr>
          <w:p>
            <w:pPr>
              <w:pStyle w:val="0"/>
              <w:jc w:val="center"/>
            </w:pPr>
            <w:r>
              <w:rPr>
                <w:sz w:val="20"/>
              </w:rPr>
              <w:t xml:space="preserve">10</w:t>
            </w:r>
          </w:p>
        </w:tc>
        <w:tc>
          <w:tcPr>
            <w:tcW w:w="907" w:type="dxa"/>
            <w:tcBorders>
              <w:top w:val="nil"/>
              <w:left w:val="nil"/>
              <w:bottom w:val="nil"/>
              <w:right w:val="nil"/>
            </w:tcBorders>
          </w:tcPr>
          <w:p>
            <w:pPr>
              <w:pStyle w:val="0"/>
              <w:jc w:val="center"/>
            </w:pPr>
            <w:r>
              <w:rPr>
                <w:sz w:val="20"/>
              </w:rPr>
              <w:t xml:space="preserve">5</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2.1.10.</w:t>
            </w:r>
          </w:p>
        </w:tc>
        <w:tc>
          <w:tcPr>
            <w:tcW w:w="3798" w:type="dxa"/>
            <w:tcBorders>
              <w:top w:val="nil"/>
              <w:left w:val="nil"/>
              <w:bottom w:val="nil"/>
              <w:right w:val="nil"/>
            </w:tcBorders>
            <w:vMerge w:val="restart"/>
          </w:tcPr>
          <w:p>
            <w:pPr>
              <w:pStyle w:val="0"/>
            </w:pPr>
            <w:r>
              <w:rPr>
                <w:sz w:val="20"/>
              </w:rPr>
              <w:t xml:space="preserve">Индекс физического объема валовой добавленной стоимости по виду экономической деятельности "Операции с недвижимым имуществом" к 2021 году </w:t>
            </w:r>
            <w:r>
              <w:rPr>
                <w:sz w:val="20"/>
              </w:rPr>
              <w:t xml:space="preserve">&lt;**&gt;</w:t>
            </w:r>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94,5</w:t>
            </w:r>
          </w:p>
        </w:tc>
        <w:tc>
          <w:tcPr>
            <w:tcW w:w="907" w:type="dxa"/>
            <w:tcBorders>
              <w:top w:val="nil"/>
              <w:left w:val="nil"/>
              <w:bottom w:val="nil"/>
              <w:right w:val="nil"/>
            </w:tcBorders>
          </w:tcPr>
          <w:p>
            <w:pPr>
              <w:pStyle w:val="0"/>
              <w:jc w:val="center"/>
            </w:pPr>
            <w:r>
              <w:rPr>
                <w:sz w:val="20"/>
              </w:rPr>
              <w:t xml:space="preserve">111,5</w:t>
            </w:r>
          </w:p>
        </w:tc>
        <w:tc>
          <w:tcPr>
            <w:tcW w:w="907" w:type="dxa"/>
            <w:tcBorders>
              <w:top w:val="nil"/>
              <w:left w:val="nil"/>
              <w:bottom w:val="nil"/>
              <w:right w:val="nil"/>
            </w:tcBorders>
          </w:tcPr>
          <w:p>
            <w:pPr>
              <w:pStyle w:val="0"/>
              <w:jc w:val="center"/>
            </w:pPr>
            <w:r>
              <w:rPr>
                <w:sz w:val="20"/>
              </w:rPr>
              <w:t xml:space="preserve">128,7</w:t>
            </w:r>
          </w:p>
        </w:tc>
        <w:tc>
          <w:tcPr>
            <w:tcW w:w="1303" w:type="dxa"/>
            <w:tcBorders>
              <w:top w:val="nil"/>
              <w:left w:val="nil"/>
              <w:bottom w:val="nil"/>
              <w:right w:val="nil"/>
            </w:tcBorders>
            <w:vMerge w:val="restart"/>
          </w:tcPr>
          <w:p>
            <w:pPr>
              <w:pStyle w:val="0"/>
              <w:jc w:val="center"/>
            </w:pPr>
            <w:r>
              <w:rPr>
                <w:sz w:val="20"/>
              </w:rPr>
              <w:t xml:space="preserve">Росстат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101,5</w:t>
            </w:r>
          </w:p>
        </w:tc>
        <w:tc>
          <w:tcPr>
            <w:tcW w:w="907" w:type="dxa"/>
            <w:tcBorders>
              <w:top w:val="nil"/>
              <w:left w:val="nil"/>
              <w:bottom w:val="nil"/>
              <w:right w:val="nil"/>
            </w:tcBorders>
          </w:tcPr>
          <w:p>
            <w:pPr>
              <w:pStyle w:val="0"/>
              <w:jc w:val="center"/>
            </w:pPr>
            <w:r>
              <w:rPr>
                <w:sz w:val="20"/>
              </w:rPr>
              <w:t xml:space="preserve">127</w:t>
            </w:r>
          </w:p>
        </w:tc>
        <w:tc>
          <w:tcPr>
            <w:tcW w:w="907" w:type="dxa"/>
            <w:tcBorders>
              <w:top w:val="nil"/>
              <w:left w:val="nil"/>
              <w:bottom w:val="nil"/>
              <w:right w:val="nil"/>
            </w:tcBorders>
          </w:tcPr>
          <w:p>
            <w:pPr>
              <w:pStyle w:val="0"/>
              <w:jc w:val="center"/>
            </w:pPr>
            <w:r>
              <w:rPr>
                <w:sz w:val="20"/>
              </w:rPr>
              <w:t xml:space="preserve">149,6</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2.1.11.</w:t>
            </w:r>
          </w:p>
        </w:tc>
        <w:tc>
          <w:tcPr>
            <w:tcW w:w="3798" w:type="dxa"/>
            <w:tcBorders>
              <w:top w:val="nil"/>
              <w:left w:val="nil"/>
              <w:bottom w:val="nil"/>
              <w:right w:val="nil"/>
            </w:tcBorders>
            <w:vMerge w:val="restart"/>
          </w:tcPr>
          <w:p>
            <w:pPr>
              <w:pStyle w:val="0"/>
            </w:pPr>
            <w:r>
              <w:rPr>
                <w:sz w:val="20"/>
              </w:rPr>
              <w:t xml:space="preserve">Индекс физического объема инвестиций в основной капитал по виду экономической деятельности "Операции с недвижимым имуществом" к 2021 году </w:t>
            </w:r>
            <w:r>
              <w:rPr>
                <w:sz w:val="20"/>
              </w:rPr>
              <w:t xml:space="preserve">&lt;**&gt;</w:t>
            </w:r>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93,8</w:t>
            </w:r>
          </w:p>
        </w:tc>
        <w:tc>
          <w:tcPr>
            <w:tcW w:w="907" w:type="dxa"/>
            <w:tcBorders>
              <w:top w:val="nil"/>
              <w:left w:val="nil"/>
              <w:bottom w:val="nil"/>
              <w:right w:val="nil"/>
            </w:tcBorders>
          </w:tcPr>
          <w:p>
            <w:pPr>
              <w:pStyle w:val="0"/>
              <w:jc w:val="center"/>
            </w:pPr>
            <w:r>
              <w:rPr>
                <w:sz w:val="20"/>
              </w:rPr>
              <w:t xml:space="preserve">107</w:t>
            </w:r>
          </w:p>
        </w:tc>
        <w:tc>
          <w:tcPr>
            <w:tcW w:w="907" w:type="dxa"/>
            <w:tcBorders>
              <w:top w:val="nil"/>
              <w:left w:val="nil"/>
              <w:bottom w:val="nil"/>
              <w:right w:val="nil"/>
            </w:tcBorders>
          </w:tcPr>
          <w:p>
            <w:pPr>
              <w:pStyle w:val="0"/>
              <w:jc w:val="center"/>
            </w:pPr>
            <w:r>
              <w:rPr>
                <w:sz w:val="20"/>
              </w:rPr>
              <w:t xml:space="preserve">118,4</w:t>
            </w:r>
          </w:p>
        </w:tc>
        <w:tc>
          <w:tcPr>
            <w:tcW w:w="1303" w:type="dxa"/>
            <w:tcBorders>
              <w:top w:val="nil"/>
              <w:left w:val="nil"/>
              <w:bottom w:val="nil"/>
              <w:right w:val="nil"/>
            </w:tcBorders>
            <w:vMerge w:val="restart"/>
          </w:tcPr>
          <w:p>
            <w:pPr>
              <w:pStyle w:val="0"/>
              <w:jc w:val="center"/>
            </w:pPr>
            <w:r>
              <w:rPr>
                <w:sz w:val="20"/>
              </w:rPr>
              <w:t xml:space="preserve">Росстат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103</w:t>
            </w:r>
          </w:p>
        </w:tc>
        <w:tc>
          <w:tcPr>
            <w:tcW w:w="907" w:type="dxa"/>
            <w:tcBorders>
              <w:top w:val="nil"/>
              <w:left w:val="nil"/>
              <w:bottom w:val="nil"/>
              <w:right w:val="nil"/>
            </w:tcBorders>
          </w:tcPr>
          <w:p>
            <w:pPr>
              <w:pStyle w:val="0"/>
              <w:jc w:val="center"/>
            </w:pPr>
            <w:r>
              <w:rPr>
                <w:sz w:val="20"/>
              </w:rPr>
              <w:t xml:space="preserve">135</w:t>
            </w:r>
          </w:p>
        </w:tc>
        <w:tc>
          <w:tcPr>
            <w:tcW w:w="907" w:type="dxa"/>
            <w:tcBorders>
              <w:top w:val="nil"/>
              <w:left w:val="nil"/>
              <w:bottom w:val="nil"/>
              <w:right w:val="nil"/>
            </w:tcBorders>
          </w:tcPr>
          <w:p>
            <w:pPr>
              <w:pStyle w:val="0"/>
              <w:jc w:val="center"/>
            </w:pPr>
            <w:r>
              <w:rPr>
                <w:sz w:val="20"/>
              </w:rPr>
              <w:t xml:space="preserve">159,8</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2.1.12.</w:t>
            </w:r>
          </w:p>
        </w:tc>
        <w:tc>
          <w:tcPr>
            <w:tcW w:w="3798" w:type="dxa"/>
            <w:tcBorders>
              <w:top w:val="nil"/>
              <w:left w:val="nil"/>
              <w:bottom w:val="nil"/>
              <w:right w:val="nil"/>
            </w:tcBorders>
            <w:vMerge w:val="restart"/>
          </w:tcPr>
          <w:p>
            <w:pPr>
              <w:pStyle w:val="0"/>
            </w:pPr>
            <w:r>
              <w:rPr>
                <w:sz w:val="20"/>
              </w:rPr>
              <w:t xml:space="preserve">Численность занятых по виду экономической деятельности "Операции с недвижимым имуществом" </w:t>
            </w:r>
            <w:r>
              <w:rPr>
                <w:sz w:val="20"/>
              </w:rPr>
              <w:t xml:space="preserve">&lt;**&gt;</w:t>
            </w:r>
          </w:p>
        </w:tc>
        <w:tc>
          <w:tcPr>
            <w:tcW w:w="1303" w:type="dxa"/>
            <w:tcBorders>
              <w:top w:val="nil"/>
              <w:left w:val="nil"/>
              <w:bottom w:val="nil"/>
              <w:right w:val="nil"/>
            </w:tcBorders>
            <w:vMerge w:val="restart"/>
          </w:tcPr>
          <w:p>
            <w:pPr>
              <w:pStyle w:val="0"/>
              <w:jc w:val="center"/>
            </w:pPr>
            <w:r>
              <w:rPr>
                <w:sz w:val="20"/>
              </w:rPr>
              <w:t xml:space="preserve">тыс. человек</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1899,5</w:t>
            </w:r>
          </w:p>
        </w:tc>
        <w:tc>
          <w:tcPr>
            <w:tcW w:w="907" w:type="dxa"/>
            <w:tcBorders>
              <w:top w:val="nil"/>
              <w:left w:val="nil"/>
              <w:bottom w:val="nil"/>
              <w:right w:val="nil"/>
            </w:tcBorders>
          </w:tcPr>
          <w:p>
            <w:pPr>
              <w:pStyle w:val="0"/>
              <w:jc w:val="center"/>
            </w:pPr>
            <w:r>
              <w:rPr>
                <w:sz w:val="20"/>
              </w:rPr>
              <w:t xml:space="preserve">1804</w:t>
            </w:r>
          </w:p>
        </w:tc>
        <w:tc>
          <w:tcPr>
            <w:tcW w:w="907" w:type="dxa"/>
            <w:tcBorders>
              <w:top w:val="nil"/>
              <w:left w:val="nil"/>
              <w:bottom w:val="nil"/>
              <w:right w:val="nil"/>
            </w:tcBorders>
          </w:tcPr>
          <w:p>
            <w:pPr>
              <w:pStyle w:val="0"/>
              <w:jc w:val="center"/>
            </w:pPr>
            <w:r>
              <w:rPr>
                <w:sz w:val="20"/>
              </w:rPr>
              <w:t xml:space="preserve">1863</w:t>
            </w:r>
          </w:p>
        </w:tc>
        <w:tc>
          <w:tcPr>
            <w:tcW w:w="907" w:type="dxa"/>
            <w:tcBorders>
              <w:top w:val="nil"/>
              <w:left w:val="nil"/>
              <w:bottom w:val="nil"/>
              <w:right w:val="nil"/>
            </w:tcBorders>
          </w:tcPr>
          <w:p>
            <w:pPr>
              <w:pStyle w:val="0"/>
              <w:jc w:val="center"/>
            </w:pPr>
            <w:r>
              <w:rPr>
                <w:sz w:val="20"/>
              </w:rPr>
              <w:t xml:space="preserve">1930</w:t>
            </w:r>
          </w:p>
        </w:tc>
        <w:tc>
          <w:tcPr>
            <w:tcW w:w="1303" w:type="dxa"/>
            <w:tcBorders>
              <w:top w:val="nil"/>
              <w:left w:val="nil"/>
              <w:bottom w:val="nil"/>
              <w:right w:val="nil"/>
            </w:tcBorders>
            <w:vMerge w:val="restart"/>
          </w:tcPr>
          <w:p>
            <w:pPr>
              <w:pStyle w:val="0"/>
              <w:jc w:val="center"/>
            </w:pPr>
            <w:r>
              <w:rPr>
                <w:sz w:val="20"/>
              </w:rPr>
              <w:t xml:space="preserve">Росстат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1899,5</w:t>
            </w:r>
          </w:p>
        </w:tc>
        <w:tc>
          <w:tcPr>
            <w:tcW w:w="907" w:type="dxa"/>
            <w:tcBorders>
              <w:top w:val="nil"/>
              <w:left w:val="nil"/>
              <w:bottom w:val="nil"/>
              <w:right w:val="nil"/>
            </w:tcBorders>
          </w:tcPr>
          <w:p>
            <w:pPr>
              <w:pStyle w:val="0"/>
              <w:jc w:val="center"/>
            </w:pPr>
            <w:r>
              <w:rPr>
                <w:sz w:val="20"/>
              </w:rPr>
              <w:t xml:space="preserve">1900</w:t>
            </w:r>
          </w:p>
        </w:tc>
        <w:tc>
          <w:tcPr>
            <w:tcW w:w="907" w:type="dxa"/>
            <w:tcBorders>
              <w:top w:val="nil"/>
              <w:left w:val="nil"/>
              <w:bottom w:val="nil"/>
              <w:right w:val="nil"/>
            </w:tcBorders>
          </w:tcPr>
          <w:p>
            <w:pPr>
              <w:pStyle w:val="0"/>
              <w:jc w:val="center"/>
            </w:pPr>
            <w:r>
              <w:rPr>
                <w:sz w:val="20"/>
              </w:rPr>
              <w:t xml:space="preserve">1956</w:t>
            </w:r>
          </w:p>
        </w:tc>
        <w:tc>
          <w:tcPr>
            <w:tcW w:w="907" w:type="dxa"/>
            <w:tcBorders>
              <w:top w:val="nil"/>
              <w:left w:val="nil"/>
              <w:bottom w:val="nil"/>
              <w:right w:val="nil"/>
            </w:tcBorders>
          </w:tcPr>
          <w:p>
            <w:pPr>
              <w:pStyle w:val="0"/>
              <w:jc w:val="center"/>
            </w:pPr>
            <w:r>
              <w:rPr>
                <w:sz w:val="20"/>
              </w:rPr>
              <w:t xml:space="preserve">1988</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2.1.13.</w:t>
            </w:r>
          </w:p>
        </w:tc>
        <w:tc>
          <w:tcPr>
            <w:tcW w:w="3798" w:type="dxa"/>
            <w:tcBorders>
              <w:top w:val="nil"/>
              <w:left w:val="nil"/>
              <w:bottom w:val="nil"/>
              <w:right w:val="nil"/>
            </w:tcBorders>
            <w:vMerge w:val="restart"/>
          </w:tcPr>
          <w:p>
            <w:pPr>
              <w:pStyle w:val="0"/>
            </w:pPr>
            <w:r>
              <w:rPr>
                <w:sz w:val="20"/>
              </w:rPr>
              <w:t xml:space="preserve">Производительность труда по виду экономической деятельности "Операции с недвижимым имуществом" к 2021 году </w:t>
            </w:r>
            <w:r>
              <w:rPr>
                <w:sz w:val="20"/>
              </w:rPr>
              <w:t xml:space="preserve">&lt;**&gt;</w:t>
            </w:r>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101,6</w:t>
            </w:r>
          </w:p>
        </w:tc>
        <w:tc>
          <w:tcPr>
            <w:tcW w:w="907" w:type="dxa"/>
            <w:tcBorders>
              <w:top w:val="nil"/>
              <w:left w:val="nil"/>
              <w:bottom w:val="nil"/>
              <w:right w:val="nil"/>
            </w:tcBorders>
          </w:tcPr>
          <w:p>
            <w:pPr>
              <w:pStyle w:val="0"/>
              <w:jc w:val="center"/>
            </w:pPr>
            <w:r>
              <w:rPr>
                <w:sz w:val="20"/>
              </w:rPr>
              <w:t xml:space="preserve">116,5</w:t>
            </w:r>
          </w:p>
        </w:tc>
        <w:tc>
          <w:tcPr>
            <w:tcW w:w="907" w:type="dxa"/>
            <w:tcBorders>
              <w:top w:val="nil"/>
              <w:left w:val="nil"/>
              <w:bottom w:val="nil"/>
              <w:right w:val="nil"/>
            </w:tcBorders>
          </w:tcPr>
          <w:p>
            <w:pPr>
              <w:pStyle w:val="0"/>
              <w:jc w:val="center"/>
            </w:pPr>
            <w:r>
              <w:rPr>
                <w:sz w:val="20"/>
              </w:rPr>
              <w:t xml:space="preserve">129,7</w:t>
            </w:r>
          </w:p>
        </w:tc>
        <w:tc>
          <w:tcPr>
            <w:tcW w:w="1303" w:type="dxa"/>
            <w:tcBorders>
              <w:top w:val="nil"/>
              <w:left w:val="nil"/>
              <w:bottom w:val="nil"/>
              <w:right w:val="nil"/>
            </w:tcBorders>
            <w:vMerge w:val="restart"/>
          </w:tcPr>
          <w:p>
            <w:pPr>
              <w:pStyle w:val="0"/>
              <w:jc w:val="center"/>
            </w:pPr>
            <w:r>
              <w:rPr>
                <w:sz w:val="20"/>
              </w:rPr>
              <w:t xml:space="preserve">Росстат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103,9</w:t>
            </w:r>
          </w:p>
        </w:tc>
        <w:tc>
          <w:tcPr>
            <w:tcW w:w="907" w:type="dxa"/>
            <w:tcBorders>
              <w:top w:val="nil"/>
              <w:left w:val="nil"/>
              <w:bottom w:val="nil"/>
              <w:right w:val="nil"/>
            </w:tcBorders>
          </w:tcPr>
          <w:p>
            <w:pPr>
              <w:pStyle w:val="0"/>
              <w:jc w:val="center"/>
            </w:pPr>
            <w:r>
              <w:rPr>
                <w:sz w:val="20"/>
              </w:rPr>
              <w:t xml:space="preserve">126,4</w:t>
            </w:r>
          </w:p>
        </w:tc>
        <w:tc>
          <w:tcPr>
            <w:tcW w:w="907" w:type="dxa"/>
            <w:tcBorders>
              <w:top w:val="nil"/>
              <w:left w:val="nil"/>
              <w:bottom w:val="nil"/>
              <w:right w:val="nil"/>
            </w:tcBorders>
          </w:tcPr>
          <w:p>
            <w:pPr>
              <w:pStyle w:val="0"/>
              <w:jc w:val="center"/>
            </w:pPr>
            <w:r>
              <w:rPr>
                <w:sz w:val="20"/>
              </w:rPr>
              <w:t xml:space="preserve">146,4</w:t>
            </w:r>
          </w:p>
        </w:tc>
        <w:tc>
          <w:tcPr>
            <w:tcBorders>
              <w:top w:val="nil"/>
              <w:left w:val="nil"/>
              <w:bottom w:val="nil"/>
              <w:right w:val="nil"/>
            </w:tcBorders>
            <w:vMerge w:val="continue"/>
          </w:tcPr>
          <w:p/>
        </w:tc>
      </w:tr>
      <w:tr>
        <w:tc>
          <w:tcPr>
            <w:gridSpan w:val="9"/>
            <w:tcW w:w="11619" w:type="dxa"/>
            <w:tcBorders>
              <w:top w:val="nil"/>
              <w:left w:val="nil"/>
              <w:bottom w:val="nil"/>
              <w:right w:val="nil"/>
            </w:tcBorders>
          </w:tcPr>
          <w:p>
            <w:pPr>
              <w:pStyle w:val="0"/>
              <w:outlineLvl w:val="3"/>
              <w:jc w:val="center"/>
            </w:pPr>
            <w:r>
              <w:rPr>
                <w:sz w:val="20"/>
              </w:rPr>
              <w:t xml:space="preserve">2.2. Жилищно-коммунальное хозяйство и городская среда</w:t>
            </w:r>
          </w:p>
        </w:tc>
      </w:tr>
      <w:tr>
        <w:tc>
          <w:tcPr>
            <w:tcW w:w="794" w:type="dxa"/>
            <w:tcBorders>
              <w:top w:val="nil"/>
              <w:left w:val="nil"/>
              <w:bottom w:val="nil"/>
              <w:right w:val="nil"/>
            </w:tcBorders>
            <w:vMerge w:val="restart"/>
          </w:tcPr>
          <w:p>
            <w:pPr>
              <w:pStyle w:val="0"/>
              <w:jc w:val="center"/>
            </w:pPr>
            <w:r>
              <w:rPr>
                <w:sz w:val="20"/>
              </w:rPr>
              <w:t xml:space="preserve">2.2.1.</w:t>
            </w:r>
          </w:p>
        </w:tc>
        <w:tc>
          <w:tcPr>
            <w:tcW w:w="3798" w:type="dxa"/>
            <w:tcBorders>
              <w:top w:val="nil"/>
              <w:left w:val="nil"/>
              <w:bottom w:val="nil"/>
              <w:right w:val="nil"/>
            </w:tcBorders>
            <w:vMerge w:val="restart"/>
          </w:tcPr>
          <w:p>
            <w:pPr>
              <w:pStyle w:val="0"/>
            </w:pPr>
            <w:r>
              <w:rPr>
                <w:sz w:val="20"/>
              </w:rPr>
              <w:t xml:space="preserve">Темпы замены сетевой инфраструктуры в теплоснабжении </w:t>
            </w:r>
            <w:r>
              <w:rPr>
                <w:sz w:val="20"/>
              </w:rPr>
              <w:t xml:space="preserve">&lt;**&gt;</w:t>
            </w:r>
          </w:p>
        </w:tc>
        <w:tc>
          <w:tcPr>
            <w:tcW w:w="1303" w:type="dxa"/>
            <w:tcBorders>
              <w:top w:val="nil"/>
              <w:left w:val="nil"/>
              <w:bottom w:val="nil"/>
              <w:right w:val="nil"/>
            </w:tcBorders>
            <w:vMerge w:val="restart"/>
          </w:tcPr>
          <w:p>
            <w:pPr>
              <w:pStyle w:val="0"/>
              <w:jc w:val="center"/>
            </w:pPr>
            <w:r>
              <w:rPr>
                <w:sz w:val="20"/>
              </w:rPr>
              <w:t xml:space="preserve">процентов протяженности</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2</w:t>
            </w:r>
          </w:p>
        </w:tc>
        <w:tc>
          <w:tcPr>
            <w:tcW w:w="907" w:type="dxa"/>
            <w:tcBorders>
              <w:top w:val="nil"/>
              <w:left w:val="nil"/>
              <w:bottom w:val="nil"/>
              <w:right w:val="nil"/>
            </w:tcBorders>
          </w:tcPr>
          <w:p>
            <w:pPr>
              <w:pStyle w:val="0"/>
              <w:jc w:val="center"/>
            </w:pPr>
            <w:r>
              <w:rPr>
                <w:sz w:val="20"/>
              </w:rPr>
              <w:t xml:space="preserve">2</w:t>
            </w:r>
          </w:p>
        </w:tc>
        <w:tc>
          <w:tcPr>
            <w:tcW w:w="907" w:type="dxa"/>
            <w:tcBorders>
              <w:top w:val="nil"/>
              <w:left w:val="nil"/>
              <w:bottom w:val="nil"/>
              <w:right w:val="nil"/>
            </w:tcBorders>
          </w:tcPr>
          <w:p>
            <w:pPr>
              <w:pStyle w:val="0"/>
              <w:jc w:val="center"/>
            </w:pPr>
            <w:r>
              <w:rPr>
                <w:sz w:val="20"/>
              </w:rPr>
              <w:t xml:space="preserve">2</w:t>
            </w:r>
          </w:p>
        </w:tc>
        <w:tc>
          <w:tcPr>
            <w:tcW w:w="907" w:type="dxa"/>
            <w:tcBorders>
              <w:top w:val="nil"/>
              <w:left w:val="nil"/>
              <w:bottom w:val="nil"/>
              <w:right w:val="nil"/>
            </w:tcBorders>
          </w:tcPr>
          <w:p>
            <w:pPr>
              <w:pStyle w:val="0"/>
              <w:jc w:val="center"/>
            </w:pPr>
            <w:r>
              <w:rPr>
                <w:sz w:val="20"/>
              </w:rPr>
              <w:t xml:space="preserve">2</w:t>
            </w:r>
          </w:p>
        </w:tc>
        <w:tc>
          <w:tcPr>
            <w:tcW w:w="1303" w:type="dxa"/>
            <w:tcBorders>
              <w:top w:val="nil"/>
              <w:left w:val="nil"/>
              <w:bottom w:val="nil"/>
              <w:right w:val="nil"/>
            </w:tcBorders>
            <w:vMerge w:val="restart"/>
          </w:tcPr>
          <w:p>
            <w:pPr>
              <w:pStyle w:val="0"/>
              <w:jc w:val="center"/>
            </w:pPr>
            <w:r>
              <w:rPr>
                <w:sz w:val="20"/>
              </w:rPr>
              <w:t xml:space="preserve">Минстрой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 </w:t>
            </w:r>
            <w:r>
              <w:rPr>
                <w:sz w:val="20"/>
              </w:rPr>
              <w:t xml:space="preserve">&lt;***&gt;</w:t>
            </w:r>
          </w:p>
        </w:tc>
        <w:tc>
          <w:tcPr>
            <w:tcW w:w="907" w:type="dxa"/>
            <w:tcBorders>
              <w:top w:val="nil"/>
              <w:left w:val="nil"/>
              <w:bottom w:val="nil"/>
              <w:right w:val="nil"/>
            </w:tcBorders>
          </w:tcPr>
          <w:p>
            <w:pPr>
              <w:pStyle w:val="0"/>
              <w:jc w:val="center"/>
            </w:pPr>
            <w:r>
              <w:rPr>
                <w:sz w:val="20"/>
              </w:rPr>
              <w:t xml:space="preserve">2</w:t>
            </w:r>
          </w:p>
        </w:tc>
        <w:tc>
          <w:tcPr>
            <w:tcW w:w="907" w:type="dxa"/>
            <w:tcBorders>
              <w:top w:val="nil"/>
              <w:left w:val="nil"/>
              <w:bottom w:val="nil"/>
              <w:right w:val="nil"/>
            </w:tcBorders>
          </w:tcPr>
          <w:p>
            <w:pPr>
              <w:pStyle w:val="0"/>
              <w:jc w:val="center"/>
            </w:pPr>
            <w:r>
              <w:rPr>
                <w:sz w:val="20"/>
              </w:rPr>
              <w:t xml:space="preserve">2,6</w:t>
            </w:r>
          </w:p>
        </w:tc>
        <w:tc>
          <w:tcPr>
            <w:tcW w:w="907" w:type="dxa"/>
            <w:tcBorders>
              <w:top w:val="nil"/>
              <w:left w:val="nil"/>
              <w:bottom w:val="nil"/>
              <w:right w:val="nil"/>
            </w:tcBorders>
          </w:tcPr>
          <w:p>
            <w:pPr>
              <w:pStyle w:val="0"/>
              <w:jc w:val="center"/>
            </w:pPr>
            <w:r>
              <w:rPr>
                <w:position w:val="-2"/>
              </w:rPr>
              <w:drawing>
                <wp:inline distT="0" distB="0" distL="0" distR="0">
                  <wp:extent cx="123825"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sz w:val="20"/>
              </w:rPr>
              <w:t xml:space="preserve"> 5</w:t>
            </w:r>
          </w:p>
        </w:tc>
        <w:tc>
          <w:tcPr>
            <w:tcW w:w="907" w:type="dxa"/>
            <w:tcBorders>
              <w:top w:val="nil"/>
              <w:left w:val="nil"/>
              <w:bottom w:val="nil"/>
              <w:right w:val="nil"/>
            </w:tcBorders>
          </w:tcPr>
          <w:p>
            <w:pPr>
              <w:pStyle w:val="0"/>
              <w:jc w:val="center"/>
            </w:pPr>
            <w:r>
              <w:rPr>
                <w:position w:val="-2"/>
              </w:rPr>
              <w:drawing>
                <wp:inline distT="0" distB="0" distL="0" distR="0">
                  <wp:extent cx="123825"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sz w:val="20"/>
              </w:rPr>
              <w:t xml:space="preserve"> 5</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2.2.2.</w:t>
            </w:r>
          </w:p>
        </w:tc>
        <w:tc>
          <w:tcPr>
            <w:tcW w:w="3798" w:type="dxa"/>
            <w:tcBorders>
              <w:top w:val="nil"/>
              <w:left w:val="nil"/>
              <w:bottom w:val="nil"/>
              <w:right w:val="nil"/>
            </w:tcBorders>
            <w:vMerge w:val="restart"/>
          </w:tcPr>
          <w:p>
            <w:pPr>
              <w:pStyle w:val="0"/>
            </w:pPr>
            <w:r>
              <w:rPr>
                <w:sz w:val="20"/>
              </w:rPr>
              <w:t xml:space="preserve">Темпы замены сетевой инфраструктуры в водоснабжении </w:t>
            </w:r>
            <w:r>
              <w:rPr>
                <w:sz w:val="20"/>
              </w:rPr>
              <w:t xml:space="preserve">&lt;**&gt;</w:t>
            </w:r>
          </w:p>
        </w:tc>
        <w:tc>
          <w:tcPr>
            <w:tcW w:w="1303" w:type="dxa"/>
            <w:tcBorders>
              <w:top w:val="nil"/>
              <w:left w:val="nil"/>
              <w:bottom w:val="nil"/>
              <w:right w:val="nil"/>
            </w:tcBorders>
            <w:vMerge w:val="restart"/>
          </w:tcPr>
          <w:p>
            <w:pPr>
              <w:pStyle w:val="0"/>
              <w:jc w:val="center"/>
            </w:pPr>
            <w:r>
              <w:rPr>
                <w:sz w:val="20"/>
              </w:rPr>
              <w:t xml:space="preserve">процентов протяженности</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w:t>
            </w:r>
          </w:p>
        </w:tc>
        <w:tc>
          <w:tcPr>
            <w:tcW w:w="907" w:type="dxa"/>
            <w:tcBorders>
              <w:top w:val="nil"/>
              <w:left w:val="nil"/>
              <w:bottom w:val="nil"/>
              <w:right w:val="nil"/>
            </w:tcBorders>
          </w:tcPr>
          <w:p>
            <w:pPr>
              <w:pStyle w:val="0"/>
              <w:jc w:val="center"/>
            </w:pPr>
            <w:r>
              <w:rPr>
                <w:sz w:val="20"/>
              </w:rPr>
              <w:t xml:space="preserve">1</w:t>
            </w:r>
          </w:p>
        </w:tc>
        <w:tc>
          <w:tcPr>
            <w:tcW w:w="907" w:type="dxa"/>
            <w:tcBorders>
              <w:top w:val="nil"/>
              <w:left w:val="nil"/>
              <w:bottom w:val="nil"/>
              <w:right w:val="nil"/>
            </w:tcBorders>
          </w:tcPr>
          <w:p>
            <w:pPr>
              <w:pStyle w:val="0"/>
              <w:jc w:val="center"/>
            </w:pPr>
            <w:r>
              <w:rPr>
                <w:sz w:val="20"/>
              </w:rPr>
              <w:t xml:space="preserve">2</w:t>
            </w:r>
          </w:p>
        </w:tc>
        <w:tc>
          <w:tcPr>
            <w:tcW w:w="907" w:type="dxa"/>
            <w:tcBorders>
              <w:top w:val="nil"/>
              <w:left w:val="nil"/>
              <w:bottom w:val="nil"/>
              <w:right w:val="nil"/>
            </w:tcBorders>
          </w:tcPr>
          <w:p>
            <w:pPr>
              <w:pStyle w:val="0"/>
              <w:jc w:val="center"/>
            </w:pPr>
            <w:r>
              <w:rPr>
                <w:sz w:val="20"/>
              </w:rPr>
              <w:t xml:space="preserve">2</w:t>
            </w:r>
          </w:p>
        </w:tc>
        <w:tc>
          <w:tcPr>
            <w:tcW w:w="1303" w:type="dxa"/>
            <w:tcBorders>
              <w:top w:val="nil"/>
              <w:left w:val="nil"/>
              <w:bottom w:val="nil"/>
              <w:right w:val="nil"/>
            </w:tcBorders>
            <w:vMerge w:val="restart"/>
          </w:tcPr>
          <w:p>
            <w:pPr>
              <w:pStyle w:val="0"/>
              <w:jc w:val="center"/>
            </w:pPr>
            <w:r>
              <w:rPr>
                <w:sz w:val="20"/>
              </w:rPr>
              <w:t xml:space="preserve">Минстрой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 </w:t>
            </w:r>
            <w:r>
              <w:rPr>
                <w:sz w:val="20"/>
              </w:rPr>
              <w:t xml:space="preserve">&lt;***&gt;</w:t>
            </w:r>
          </w:p>
        </w:tc>
        <w:tc>
          <w:tcPr>
            <w:tcW w:w="907" w:type="dxa"/>
            <w:tcBorders>
              <w:top w:val="nil"/>
              <w:left w:val="nil"/>
              <w:bottom w:val="nil"/>
              <w:right w:val="nil"/>
            </w:tcBorders>
          </w:tcPr>
          <w:p>
            <w:pPr>
              <w:pStyle w:val="0"/>
              <w:jc w:val="center"/>
            </w:pPr>
            <w:r>
              <w:rPr>
                <w:sz w:val="20"/>
              </w:rPr>
              <w:t xml:space="preserve">1</w:t>
            </w:r>
          </w:p>
        </w:tc>
        <w:tc>
          <w:tcPr>
            <w:tcW w:w="907" w:type="dxa"/>
            <w:tcBorders>
              <w:top w:val="nil"/>
              <w:left w:val="nil"/>
              <w:bottom w:val="nil"/>
              <w:right w:val="nil"/>
            </w:tcBorders>
          </w:tcPr>
          <w:p>
            <w:pPr>
              <w:pStyle w:val="0"/>
              <w:jc w:val="center"/>
            </w:pPr>
            <w:r>
              <w:rPr>
                <w:sz w:val="20"/>
              </w:rPr>
              <w:t xml:space="preserve">2,7</w:t>
            </w:r>
          </w:p>
        </w:tc>
        <w:tc>
          <w:tcPr>
            <w:tcW w:w="907" w:type="dxa"/>
            <w:tcBorders>
              <w:top w:val="nil"/>
              <w:left w:val="nil"/>
              <w:bottom w:val="nil"/>
              <w:right w:val="nil"/>
            </w:tcBorders>
          </w:tcPr>
          <w:p>
            <w:pPr>
              <w:pStyle w:val="0"/>
              <w:jc w:val="center"/>
            </w:pPr>
            <w:r>
              <w:rPr>
                <w:position w:val="-2"/>
              </w:rPr>
              <w:drawing>
                <wp:inline distT="0" distB="0" distL="0" distR="0">
                  <wp:extent cx="123825"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sz w:val="20"/>
              </w:rPr>
              <w:t xml:space="preserve"> 5</w:t>
            </w:r>
          </w:p>
        </w:tc>
        <w:tc>
          <w:tcPr>
            <w:tcW w:w="907" w:type="dxa"/>
            <w:tcBorders>
              <w:top w:val="nil"/>
              <w:left w:val="nil"/>
              <w:bottom w:val="nil"/>
              <w:right w:val="nil"/>
            </w:tcBorders>
          </w:tcPr>
          <w:p>
            <w:pPr>
              <w:pStyle w:val="0"/>
              <w:jc w:val="center"/>
            </w:pPr>
            <w:r>
              <w:rPr>
                <w:position w:val="-2"/>
              </w:rPr>
              <w:drawing>
                <wp:inline distT="0" distB="0" distL="0" distR="0">
                  <wp:extent cx="123825"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sz w:val="20"/>
              </w:rPr>
              <w:t xml:space="preserve"> 5</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2.2.3.</w:t>
            </w:r>
          </w:p>
        </w:tc>
        <w:tc>
          <w:tcPr>
            <w:tcW w:w="3798" w:type="dxa"/>
            <w:tcBorders>
              <w:top w:val="nil"/>
              <w:left w:val="nil"/>
              <w:bottom w:val="nil"/>
              <w:right w:val="nil"/>
            </w:tcBorders>
            <w:vMerge w:val="restart"/>
          </w:tcPr>
          <w:p>
            <w:pPr>
              <w:pStyle w:val="0"/>
            </w:pPr>
            <w:r>
              <w:rPr>
                <w:sz w:val="20"/>
              </w:rPr>
              <w:t xml:space="preserve">Темпы замены сетевой инфраструктуры в водоотведении </w:t>
            </w:r>
            <w:r>
              <w:rPr>
                <w:sz w:val="20"/>
              </w:rPr>
              <w:t xml:space="preserve">&lt;**&gt;</w:t>
            </w:r>
          </w:p>
        </w:tc>
        <w:tc>
          <w:tcPr>
            <w:tcW w:w="1303" w:type="dxa"/>
            <w:tcBorders>
              <w:top w:val="nil"/>
              <w:left w:val="nil"/>
              <w:bottom w:val="nil"/>
              <w:right w:val="nil"/>
            </w:tcBorders>
            <w:vMerge w:val="restart"/>
          </w:tcPr>
          <w:p>
            <w:pPr>
              <w:pStyle w:val="0"/>
              <w:jc w:val="center"/>
            </w:pPr>
            <w:r>
              <w:rPr>
                <w:sz w:val="20"/>
              </w:rPr>
              <w:t xml:space="preserve">процентов протяженности</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0,4</w:t>
            </w:r>
          </w:p>
        </w:tc>
        <w:tc>
          <w:tcPr>
            <w:tcW w:w="907" w:type="dxa"/>
            <w:tcBorders>
              <w:top w:val="nil"/>
              <w:left w:val="nil"/>
              <w:bottom w:val="nil"/>
              <w:right w:val="nil"/>
            </w:tcBorders>
          </w:tcPr>
          <w:p>
            <w:pPr>
              <w:pStyle w:val="0"/>
              <w:jc w:val="center"/>
            </w:pPr>
            <w:r>
              <w:rPr>
                <w:sz w:val="20"/>
              </w:rPr>
              <w:t xml:space="preserve">0,4</w:t>
            </w:r>
          </w:p>
        </w:tc>
        <w:tc>
          <w:tcPr>
            <w:tcW w:w="907" w:type="dxa"/>
            <w:tcBorders>
              <w:top w:val="nil"/>
              <w:left w:val="nil"/>
              <w:bottom w:val="nil"/>
              <w:right w:val="nil"/>
            </w:tcBorders>
          </w:tcPr>
          <w:p>
            <w:pPr>
              <w:pStyle w:val="0"/>
              <w:jc w:val="center"/>
            </w:pPr>
            <w:r>
              <w:rPr>
                <w:sz w:val="20"/>
              </w:rPr>
              <w:t xml:space="preserve">1,4</w:t>
            </w:r>
          </w:p>
        </w:tc>
        <w:tc>
          <w:tcPr>
            <w:tcW w:w="907" w:type="dxa"/>
            <w:tcBorders>
              <w:top w:val="nil"/>
              <w:left w:val="nil"/>
              <w:bottom w:val="nil"/>
              <w:right w:val="nil"/>
            </w:tcBorders>
          </w:tcPr>
          <w:p>
            <w:pPr>
              <w:pStyle w:val="0"/>
              <w:jc w:val="center"/>
            </w:pPr>
            <w:r>
              <w:rPr>
                <w:sz w:val="20"/>
              </w:rPr>
              <w:t xml:space="preserve">1,5</w:t>
            </w:r>
          </w:p>
        </w:tc>
        <w:tc>
          <w:tcPr>
            <w:tcW w:w="1303" w:type="dxa"/>
            <w:tcBorders>
              <w:top w:val="nil"/>
              <w:left w:val="nil"/>
              <w:bottom w:val="nil"/>
              <w:right w:val="nil"/>
            </w:tcBorders>
            <w:vMerge w:val="restart"/>
          </w:tcPr>
          <w:p>
            <w:pPr>
              <w:pStyle w:val="0"/>
              <w:jc w:val="center"/>
            </w:pPr>
            <w:r>
              <w:rPr>
                <w:sz w:val="20"/>
              </w:rPr>
              <w:t xml:space="preserve">Минстрой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 </w:t>
            </w:r>
            <w:r>
              <w:rPr>
                <w:sz w:val="20"/>
              </w:rPr>
              <w:t xml:space="preserve">&lt;***&gt;</w:t>
            </w:r>
          </w:p>
        </w:tc>
        <w:tc>
          <w:tcPr>
            <w:tcW w:w="907" w:type="dxa"/>
            <w:tcBorders>
              <w:top w:val="nil"/>
              <w:left w:val="nil"/>
              <w:bottom w:val="nil"/>
              <w:right w:val="nil"/>
            </w:tcBorders>
          </w:tcPr>
          <w:p>
            <w:pPr>
              <w:pStyle w:val="0"/>
              <w:jc w:val="center"/>
            </w:pPr>
            <w:r>
              <w:rPr>
                <w:sz w:val="20"/>
              </w:rPr>
              <w:t xml:space="preserve">0,4</w:t>
            </w:r>
          </w:p>
        </w:tc>
        <w:tc>
          <w:tcPr>
            <w:tcW w:w="907" w:type="dxa"/>
            <w:tcBorders>
              <w:top w:val="nil"/>
              <w:left w:val="nil"/>
              <w:bottom w:val="nil"/>
              <w:right w:val="nil"/>
            </w:tcBorders>
          </w:tcPr>
          <w:p>
            <w:pPr>
              <w:pStyle w:val="0"/>
              <w:jc w:val="center"/>
            </w:pPr>
            <w:r>
              <w:rPr>
                <w:sz w:val="20"/>
              </w:rPr>
              <w:t xml:space="preserve">2,1</w:t>
            </w:r>
          </w:p>
        </w:tc>
        <w:tc>
          <w:tcPr>
            <w:tcW w:w="907" w:type="dxa"/>
            <w:tcBorders>
              <w:top w:val="nil"/>
              <w:left w:val="nil"/>
              <w:bottom w:val="nil"/>
              <w:right w:val="nil"/>
            </w:tcBorders>
          </w:tcPr>
          <w:p>
            <w:pPr>
              <w:pStyle w:val="0"/>
              <w:jc w:val="center"/>
            </w:pPr>
            <w:r>
              <w:rPr>
                <w:position w:val="-2"/>
              </w:rPr>
              <w:drawing>
                <wp:inline distT="0" distB="0" distL="0" distR="0">
                  <wp:extent cx="123825"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sz w:val="20"/>
              </w:rPr>
              <w:t xml:space="preserve"> 5</w:t>
            </w:r>
          </w:p>
        </w:tc>
        <w:tc>
          <w:tcPr>
            <w:tcW w:w="907" w:type="dxa"/>
            <w:tcBorders>
              <w:top w:val="nil"/>
              <w:left w:val="nil"/>
              <w:bottom w:val="nil"/>
              <w:right w:val="nil"/>
            </w:tcBorders>
          </w:tcPr>
          <w:p>
            <w:pPr>
              <w:pStyle w:val="0"/>
              <w:jc w:val="center"/>
            </w:pPr>
            <w:r>
              <w:rPr>
                <w:position w:val="-2"/>
              </w:rPr>
              <w:drawing>
                <wp:inline distT="0" distB="0" distL="0" distR="0">
                  <wp:extent cx="123825"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sz w:val="20"/>
              </w:rPr>
              <w:t xml:space="preserve"> 5</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2.2.4.</w:t>
            </w:r>
          </w:p>
        </w:tc>
        <w:tc>
          <w:tcPr>
            <w:tcW w:w="3798" w:type="dxa"/>
            <w:tcBorders>
              <w:top w:val="nil"/>
              <w:left w:val="nil"/>
              <w:bottom w:val="nil"/>
              <w:right w:val="nil"/>
            </w:tcBorders>
            <w:vMerge w:val="restart"/>
          </w:tcPr>
          <w:p>
            <w:pPr>
              <w:pStyle w:val="0"/>
            </w:pPr>
            <w:r>
              <w:rPr>
                <w:sz w:val="20"/>
              </w:rPr>
              <w:t xml:space="preserve">Индекс физического объема валовой добавленной стоимости в жилищно-коммунальном хозяйстве по виду экономической деятельности "Обеспечение электрической энергией, газом и паром; кондиционирование воздуха" к 2021 году </w:t>
            </w:r>
            <w:r>
              <w:rPr>
                <w:sz w:val="20"/>
              </w:rPr>
              <w:t xml:space="preserve">&lt;**&gt;</w:t>
            </w:r>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93,9</w:t>
            </w:r>
          </w:p>
        </w:tc>
        <w:tc>
          <w:tcPr>
            <w:tcW w:w="907" w:type="dxa"/>
            <w:tcBorders>
              <w:top w:val="nil"/>
              <w:left w:val="nil"/>
              <w:bottom w:val="nil"/>
              <w:right w:val="nil"/>
            </w:tcBorders>
          </w:tcPr>
          <w:p>
            <w:pPr>
              <w:pStyle w:val="0"/>
              <w:jc w:val="center"/>
            </w:pPr>
            <w:r>
              <w:rPr>
                <w:sz w:val="20"/>
              </w:rPr>
              <w:t xml:space="preserve">101,4</w:t>
            </w:r>
          </w:p>
        </w:tc>
        <w:tc>
          <w:tcPr>
            <w:tcW w:w="907" w:type="dxa"/>
            <w:tcBorders>
              <w:top w:val="nil"/>
              <w:left w:val="nil"/>
              <w:bottom w:val="nil"/>
              <w:right w:val="nil"/>
            </w:tcBorders>
          </w:tcPr>
          <w:p>
            <w:pPr>
              <w:pStyle w:val="0"/>
              <w:jc w:val="center"/>
            </w:pPr>
            <w:r>
              <w:rPr>
                <w:sz w:val="20"/>
              </w:rPr>
              <w:t xml:space="preserve">111,3</w:t>
            </w:r>
          </w:p>
        </w:tc>
        <w:tc>
          <w:tcPr>
            <w:tcW w:w="1303" w:type="dxa"/>
            <w:tcBorders>
              <w:top w:val="nil"/>
              <w:left w:val="nil"/>
              <w:bottom w:val="nil"/>
              <w:right w:val="nil"/>
            </w:tcBorders>
            <w:vMerge w:val="restart"/>
          </w:tcPr>
          <w:p>
            <w:pPr>
              <w:pStyle w:val="0"/>
              <w:jc w:val="center"/>
            </w:pPr>
            <w:r>
              <w:rPr>
                <w:sz w:val="20"/>
              </w:rPr>
              <w:t xml:space="preserve">Росстат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95,7</w:t>
            </w:r>
          </w:p>
        </w:tc>
        <w:tc>
          <w:tcPr>
            <w:tcW w:w="907" w:type="dxa"/>
            <w:tcBorders>
              <w:top w:val="nil"/>
              <w:left w:val="nil"/>
              <w:bottom w:val="nil"/>
              <w:right w:val="nil"/>
            </w:tcBorders>
          </w:tcPr>
          <w:p>
            <w:pPr>
              <w:pStyle w:val="0"/>
              <w:jc w:val="center"/>
            </w:pPr>
            <w:r>
              <w:rPr>
                <w:sz w:val="20"/>
              </w:rPr>
              <w:t xml:space="preserve">107,3</w:t>
            </w:r>
          </w:p>
        </w:tc>
        <w:tc>
          <w:tcPr>
            <w:tcW w:w="907" w:type="dxa"/>
            <w:tcBorders>
              <w:top w:val="nil"/>
              <w:left w:val="nil"/>
              <w:bottom w:val="nil"/>
              <w:right w:val="nil"/>
            </w:tcBorders>
          </w:tcPr>
          <w:p>
            <w:pPr>
              <w:pStyle w:val="0"/>
              <w:jc w:val="center"/>
            </w:pPr>
            <w:r>
              <w:rPr>
                <w:sz w:val="20"/>
              </w:rPr>
              <w:t xml:space="preserve">117,7</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2.2.5.</w:t>
            </w:r>
          </w:p>
        </w:tc>
        <w:tc>
          <w:tcPr>
            <w:tcW w:w="3798" w:type="dxa"/>
            <w:tcBorders>
              <w:top w:val="nil"/>
              <w:left w:val="nil"/>
              <w:bottom w:val="nil"/>
              <w:right w:val="nil"/>
            </w:tcBorders>
            <w:vMerge w:val="restart"/>
          </w:tcPr>
          <w:p>
            <w:pPr>
              <w:pStyle w:val="0"/>
            </w:pPr>
            <w:r>
              <w:rPr>
                <w:sz w:val="20"/>
              </w:rPr>
              <w:t xml:space="preserve">Индекс физического объема инвестиций в основной капитал в жилищно-коммунальном хозяйстве по виду экономической деятельности "Обеспечение электрической энергией, газом и паром; кондиционирование воздуха" к 2021 году </w:t>
            </w:r>
            <w:r>
              <w:rPr>
                <w:sz w:val="20"/>
              </w:rPr>
              <w:t xml:space="preserve">&lt;**&gt;</w:t>
            </w:r>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95,9</w:t>
            </w:r>
          </w:p>
        </w:tc>
        <w:tc>
          <w:tcPr>
            <w:tcW w:w="907" w:type="dxa"/>
            <w:tcBorders>
              <w:top w:val="nil"/>
              <w:left w:val="nil"/>
              <w:bottom w:val="nil"/>
              <w:right w:val="nil"/>
            </w:tcBorders>
          </w:tcPr>
          <w:p>
            <w:pPr>
              <w:pStyle w:val="0"/>
              <w:jc w:val="center"/>
            </w:pPr>
            <w:r>
              <w:rPr>
                <w:sz w:val="20"/>
              </w:rPr>
              <w:t xml:space="preserve">113,7</w:t>
            </w:r>
          </w:p>
        </w:tc>
        <w:tc>
          <w:tcPr>
            <w:tcW w:w="907" w:type="dxa"/>
            <w:tcBorders>
              <w:top w:val="nil"/>
              <w:left w:val="nil"/>
              <w:bottom w:val="nil"/>
              <w:right w:val="nil"/>
            </w:tcBorders>
          </w:tcPr>
          <w:p>
            <w:pPr>
              <w:pStyle w:val="0"/>
              <w:jc w:val="center"/>
            </w:pPr>
            <w:r>
              <w:rPr>
                <w:sz w:val="20"/>
              </w:rPr>
              <w:t xml:space="preserve">129,7</w:t>
            </w:r>
          </w:p>
        </w:tc>
        <w:tc>
          <w:tcPr>
            <w:tcW w:w="1303" w:type="dxa"/>
            <w:tcBorders>
              <w:top w:val="nil"/>
              <w:left w:val="nil"/>
              <w:bottom w:val="nil"/>
              <w:right w:val="nil"/>
            </w:tcBorders>
            <w:vMerge w:val="restart"/>
          </w:tcPr>
          <w:p>
            <w:pPr>
              <w:pStyle w:val="0"/>
              <w:jc w:val="center"/>
            </w:pPr>
            <w:r>
              <w:rPr>
                <w:sz w:val="20"/>
              </w:rPr>
              <w:t xml:space="preserve">Росстат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115,9</w:t>
            </w:r>
          </w:p>
        </w:tc>
        <w:tc>
          <w:tcPr>
            <w:tcW w:w="907" w:type="dxa"/>
            <w:tcBorders>
              <w:top w:val="nil"/>
              <w:left w:val="nil"/>
              <w:bottom w:val="nil"/>
              <w:right w:val="nil"/>
            </w:tcBorders>
          </w:tcPr>
          <w:p>
            <w:pPr>
              <w:pStyle w:val="0"/>
              <w:jc w:val="center"/>
            </w:pPr>
            <w:r>
              <w:rPr>
                <w:sz w:val="20"/>
              </w:rPr>
              <w:t xml:space="preserve">144,3</w:t>
            </w:r>
          </w:p>
        </w:tc>
        <w:tc>
          <w:tcPr>
            <w:tcW w:w="907" w:type="dxa"/>
            <w:tcBorders>
              <w:top w:val="nil"/>
              <w:left w:val="nil"/>
              <w:bottom w:val="nil"/>
              <w:right w:val="nil"/>
            </w:tcBorders>
          </w:tcPr>
          <w:p>
            <w:pPr>
              <w:pStyle w:val="0"/>
              <w:jc w:val="center"/>
            </w:pPr>
            <w:r>
              <w:rPr>
                <w:sz w:val="20"/>
              </w:rPr>
              <w:t xml:space="preserve">164,6</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2.2.6.</w:t>
            </w:r>
          </w:p>
        </w:tc>
        <w:tc>
          <w:tcPr>
            <w:tcW w:w="3798" w:type="dxa"/>
            <w:tcBorders>
              <w:top w:val="nil"/>
              <w:left w:val="nil"/>
              <w:bottom w:val="nil"/>
              <w:right w:val="nil"/>
            </w:tcBorders>
            <w:vMerge w:val="restart"/>
          </w:tcPr>
          <w:p>
            <w:pPr>
              <w:pStyle w:val="0"/>
            </w:pPr>
            <w:r>
              <w:rPr>
                <w:sz w:val="20"/>
              </w:rPr>
              <w:t xml:space="preserve">Численность занятых в жилищно-коммунальном хозяйстве по виду экономической деятельности "Обеспечение электрической энергией, газом и паром; кондиционирование воздуха" </w:t>
            </w:r>
            <w:r>
              <w:rPr>
                <w:sz w:val="20"/>
              </w:rPr>
              <w:t xml:space="preserve">&lt;**&gt;</w:t>
            </w:r>
          </w:p>
        </w:tc>
        <w:tc>
          <w:tcPr>
            <w:tcW w:w="1303" w:type="dxa"/>
            <w:tcBorders>
              <w:top w:val="nil"/>
              <w:left w:val="nil"/>
              <w:bottom w:val="nil"/>
              <w:right w:val="nil"/>
            </w:tcBorders>
            <w:vMerge w:val="restart"/>
          </w:tcPr>
          <w:p>
            <w:pPr>
              <w:pStyle w:val="0"/>
              <w:jc w:val="center"/>
            </w:pPr>
            <w:r>
              <w:rPr>
                <w:sz w:val="20"/>
              </w:rPr>
              <w:t xml:space="preserve">тыс. человек</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1583</w:t>
            </w:r>
          </w:p>
        </w:tc>
        <w:tc>
          <w:tcPr>
            <w:tcW w:w="907" w:type="dxa"/>
            <w:tcBorders>
              <w:top w:val="nil"/>
              <w:left w:val="nil"/>
              <w:bottom w:val="nil"/>
              <w:right w:val="nil"/>
            </w:tcBorders>
          </w:tcPr>
          <w:p>
            <w:pPr>
              <w:pStyle w:val="0"/>
              <w:jc w:val="center"/>
            </w:pPr>
            <w:r>
              <w:rPr>
                <w:sz w:val="20"/>
              </w:rPr>
              <w:t xml:space="preserve">1504</w:t>
            </w:r>
          </w:p>
        </w:tc>
        <w:tc>
          <w:tcPr>
            <w:tcW w:w="907" w:type="dxa"/>
            <w:tcBorders>
              <w:top w:val="nil"/>
              <w:left w:val="nil"/>
              <w:bottom w:val="nil"/>
              <w:right w:val="nil"/>
            </w:tcBorders>
          </w:tcPr>
          <w:p>
            <w:pPr>
              <w:pStyle w:val="0"/>
              <w:jc w:val="center"/>
            </w:pPr>
            <w:r>
              <w:rPr>
                <w:sz w:val="20"/>
              </w:rPr>
              <w:t xml:space="preserve">1424</w:t>
            </w:r>
          </w:p>
        </w:tc>
        <w:tc>
          <w:tcPr>
            <w:tcW w:w="907" w:type="dxa"/>
            <w:tcBorders>
              <w:top w:val="nil"/>
              <w:left w:val="nil"/>
              <w:bottom w:val="nil"/>
              <w:right w:val="nil"/>
            </w:tcBorders>
          </w:tcPr>
          <w:p>
            <w:pPr>
              <w:pStyle w:val="0"/>
              <w:jc w:val="center"/>
            </w:pPr>
            <w:r>
              <w:rPr>
                <w:sz w:val="20"/>
              </w:rPr>
              <w:t xml:space="preserve">1372</w:t>
            </w:r>
          </w:p>
        </w:tc>
        <w:tc>
          <w:tcPr>
            <w:tcW w:w="1303" w:type="dxa"/>
            <w:tcBorders>
              <w:top w:val="nil"/>
              <w:left w:val="nil"/>
              <w:bottom w:val="nil"/>
              <w:right w:val="nil"/>
            </w:tcBorders>
            <w:vMerge w:val="restart"/>
          </w:tcPr>
          <w:p>
            <w:pPr>
              <w:pStyle w:val="0"/>
              <w:jc w:val="center"/>
            </w:pPr>
            <w:r>
              <w:rPr>
                <w:sz w:val="20"/>
              </w:rPr>
              <w:t xml:space="preserve">Росстат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1583</w:t>
            </w:r>
          </w:p>
        </w:tc>
        <w:tc>
          <w:tcPr>
            <w:tcW w:w="907" w:type="dxa"/>
            <w:tcBorders>
              <w:top w:val="nil"/>
              <w:left w:val="nil"/>
              <w:bottom w:val="nil"/>
              <w:right w:val="nil"/>
            </w:tcBorders>
          </w:tcPr>
          <w:p>
            <w:pPr>
              <w:pStyle w:val="0"/>
              <w:jc w:val="center"/>
            </w:pPr>
            <w:r>
              <w:rPr>
                <w:sz w:val="20"/>
              </w:rPr>
              <w:t xml:space="preserve">1513</w:t>
            </w:r>
          </w:p>
        </w:tc>
        <w:tc>
          <w:tcPr>
            <w:tcW w:w="907" w:type="dxa"/>
            <w:tcBorders>
              <w:top w:val="nil"/>
              <w:left w:val="nil"/>
              <w:bottom w:val="nil"/>
              <w:right w:val="nil"/>
            </w:tcBorders>
          </w:tcPr>
          <w:p>
            <w:pPr>
              <w:pStyle w:val="0"/>
              <w:jc w:val="center"/>
            </w:pPr>
            <w:r>
              <w:rPr>
                <w:sz w:val="20"/>
              </w:rPr>
              <w:t xml:space="preserve">1450</w:t>
            </w:r>
          </w:p>
        </w:tc>
        <w:tc>
          <w:tcPr>
            <w:tcW w:w="907" w:type="dxa"/>
            <w:tcBorders>
              <w:top w:val="nil"/>
              <w:left w:val="nil"/>
              <w:bottom w:val="nil"/>
              <w:right w:val="nil"/>
            </w:tcBorders>
          </w:tcPr>
          <w:p>
            <w:pPr>
              <w:pStyle w:val="0"/>
              <w:jc w:val="center"/>
            </w:pPr>
            <w:r>
              <w:rPr>
                <w:sz w:val="20"/>
              </w:rPr>
              <w:t xml:space="preserve">1397</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2.2.7.</w:t>
            </w:r>
          </w:p>
        </w:tc>
        <w:tc>
          <w:tcPr>
            <w:tcW w:w="3798" w:type="dxa"/>
            <w:tcBorders>
              <w:top w:val="nil"/>
              <w:left w:val="nil"/>
              <w:bottom w:val="nil"/>
              <w:right w:val="nil"/>
            </w:tcBorders>
            <w:vMerge w:val="restart"/>
          </w:tcPr>
          <w:p>
            <w:pPr>
              <w:pStyle w:val="0"/>
            </w:pPr>
            <w:r>
              <w:rPr>
                <w:sz w:val="20"/>
              </w:rPr>
              <w:t xml:space="preserve">Производительность труда в жилищно-коммунальном хозяйстве по виду экономической деятельности "Обеспечение электрической энергией, газом и паром; кондиционирование воздуха" к 2021 году </w:t>
            </w:r>
            <w:r>
              <w:rPr>
                <w:sz w:val="20"/>
              </w:rPr>
              <w:t xml:space="preserve">&lt;**&gt;</w:t>
            </w:r>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99,8</w:t>
            </w:r>
          </w:p>
        </w:tc>
        <w:tc>
          <w:tcPr>
            <w:tcW w:w="907" w:type="dxa"/>
            <w:tcBorders>
              <w:top w:val="nil"/>
              <w:left w:val="nil"/>
              <w:bottom w:val="nil"/>
              <w:right w:val="nil"/>
            </w:tcBorders>
          </w:tcPr>
          <w:p>
            <w:pPr>
              <w:pStyle w:val="0"/>
              <w:jc w:val="center"/>
            </w:pPr>
            <w:r>
              <w:rPr>
                <w:sz w:val="20"/>
              </w:rPr>
              <w:t xml:space="preserve">113,9</w:t>
            </w:r>
          </w:p>
        </w:tc>
        <w:tc>
          <w:tcPr>
            <w:tcW w:w="907" w:type="dxa"/>
            <w:tcBorders>
              <w:top w:val="nil"/>
              <w:left w:val="nil"/>
              <w:bottom w:val="nil"/>
              <w:right w:val="nil"/>
            </w:tcBorders>
          </w:tcPr>
          <w:p>
            <w:pPr>
              <w:pStyle w:val="0"/>
              <w:jc w:val="center"/>
            </w:pPr>
            <w:r>
              <w:rPr>
                <w:sz w:val="20"/>
              </w:rPr>
              <w:t xml:space="preserve">129,7</w:t>
            </w:r>
          </w:p>
        </w:tc>
        <w:tc>
          <w:tcPr>
            <w:tcW w:w="1303" w:type="dxa"/>
            <w:tcBorders>
              <w:top w:val="nil"/>
              <w:left w:val="nil"/>
              <w:bottom w:val="nil"/>
              <w:right w:val="nil"/>
            </w:tcBorders>
            <w:vMerge w:val="restart"/>
          </w:tcPr>
          <w:p>
            <w:pPr>
              <w:pStyle w:val="0"/>
              <w:jc w:val="center"/>
            </w:pPr>
            <w:r>
              <w:rPr>
                <w:sz w:val="20"/>
              </w:rPr>
              <w:t xml:space="preserve">Росстат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101,1</w:t>
            </w:r>
          </w:p>
        </w:tc>
        <w:tc>
          <w:tcPr>
            <w:tcW w:w="907" w:type="dxa"/>
            <w:tcBorders>
              <w:top w:val="nil"/>
              <w:left w:val="nil"/>
              <w:bottom w:val="nil"/>
              <w:right w:val="nil"/>
            </w:tcBorders>
          </w:tcPr>
          <w:p>
            <w:pPr>
              <w:pStyle w:val="0"/>
              <w:jc w:val="center"/>
            </w:pPr>
            <w:r>
              <w:rPr>
                <w:sz w:val="20"/>
              </w:rPr>
              <w:t xml:space="preserve">118,3</w:t>
            </w:r>
          </w:p>
        </w:tc>
        <w:tc>
          <w:tcPr>
            <w:tcW w:w="907" w:type="dxa"/>
            <w:tcBorders>
              <w:top w:val="nil"/>
              <w:left w:val="nil"/>
              <w:bottom w:val="nil"/>
              <w:right w:val="nil"/>
            </w:tcBorders>
          </w:tcPr>
          <w:p>
            <w:pPr>
              <w:pStyle w:val="0"/>
              <w:jc w:val="center"/>
            </w:pPr>
            <w:r>
              <w:rPr>
                <w:sz w:val="20"/>
              </w:rPr>
              <w:t xml:space="preserve">134,7</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2.2.8.</w:t>
            </w:r>
          </w:p>
        </w:tc>
        <w:tc>
          <w:tcPr>
            <w:tcW w:w="3798" w:type="dxa"/>
            <w:tcBorders>
              <w:top w:val="nil"/>
              <w:left w:val="nil"/>
              <w:bottom w:val="nil"/>
              <w:right w:val="nil"/>
            </w:tcBorders>
            <w:vMerge w:val="restart"/>
          </w:tcPr>
          <w:p>
            <w:pPr>
              <w:pStyle w:val="0"/>
            </w:pPr>
            <w:r>
              <w:rPr>
                <w:sz w:val="20"/>
              </w:rPr>
              <w:t xml:space="preserve">Индекс физического объема валовой добавленной стоимости в жилищно-коммунальном хозяйстве по виду экономической деятельности "Водоснабжение; водоотведение, организация сбора и утилизации отходов, деятельность по ликвидации загрязнений" к 2021 году </w:t>
            </w:r>
            <w:r>
              <w:rPr>
                <w:sz w:val="20"/>
              </w:rPr>
              <w:t xml:space="preserve">&lt;**&gt;</w:t>
            </w:r>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91,8</w:t>
            </w:r>
          </w:p>
        </w:tc>
        <w:tc>
          <w:tcPr>
            <w:tcW w:w="907" w:type="dxa"/>
            <w:tcBorders>
              <w:top w:val="nil"/>
              <w:left w:val="nil"/>
              <w:bottom w:val="nil"/>
              <w:right w:val="nil"/>
            </w:tcBorders>
          </w:tcPr>
          <w:p>
            <w:pPr>
              <w:pStyle w:val="0"/>
              <w:jc w:val="center"/>
            </w:pPr>
            <w:r>
              <w:rPr>
                <w:sz w:val="20"/>
              </w:rPr>
              <w:t xml:space="preserve">104</w:t>
            </w:r>
          </w:p>
        </w:tc>
        <w:tc>
          <w:tcPr>
            <w:tcW w:w="907" w:type="dxa"/>
            <w:tcBorders>
              <w:top w:val="nil"/>
              <w:left w:val="nil"/>
              <w:bottom w:val="nil"/>
              <w:right w:val="nil"/>
            </w:tcBorders>
          </w:tcPr>
          <w:p>
            <w:pPr>
              <w:pStyle w:val="0"/>
              <w:jc w:val="center"/>
            </w:pPr>
            <w:r>
              <w:rPr>
                <w:sz w:val="20"/>
              </w:rPr>
              <w:t xml:space="preserve">117,6</w:t>
            </w:r>
          </w:p>
        </w:tc>
        <w:tc>
          <w:tcPr>
            <w:tcW w:w="1303" w:type="dxa"/>
            <w:tcBorders>
              <w:top w:val="nil"/>
              <w:left w:val="nil"/>
              <w:bottom w:val="nil"/>
              <w:right w:val="nil"/>
            </w:tcBorders>
            <w:vMerge w:val="restart"/>
          </w:tcPr>
          <w:p>
            <w:pPr>
              <w:pStyle w:val="0"/>
              <w:jc w:val="center"/>
            </w:pPr>
            <w:r>
              <w:rPr>
                <w:sz w:val="20"/>
              </w:rPr>
              <w:t xml:space="preserve">Росстат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93</w:t>
            </w:r>
          </w:p>
        </w:tc>
        <w:tc>
          <w:tcPr>
            <w:tcW w:w="907" w:type="dxa"/>
            <w:tcBorders>
              <w:top w:val="nil"/>
              <w:left w:val="nil"/>
              <w:bottom w:val="nil"/>
              <w:right w:val="nil"/>
            </w:tcBorders>
          </w:tcPr>
          <w:p>
            <w:pPr>
              <w:pStyle w:val="0"/>
              <w:jc w:val="center"/>
            </w:pPr>
            <w:r>
              <w:rPr>
                <w:sz w:val="20"/>
              </w:rPr>
              <w:t xml:space="preserve">108,1</w:t>
            </w:r>
          </w:p>
        </w:tc>
        <w:tc>
          <w:tcPr>
            <w:tcW w:w="907" w:type="dxa"/>
            <w:tcBorders>
              <w:top w:val="nil"/>
              <w:left w:val="nil"/>
              <w:bottom w:val="nil"/>
              <w:right w:val="nil"/>
            </w:tcBorders>
          </w:tcPr>
          <w:p>
            <w:pPr>
              <w:pStyle w:val="0"/>
              <w:jc w:val="center"/>
            </w:pPr>
            <w:r>
              <w:rPr>
                <w:sz w:val="20"/>
              </w:rPr>
              <w:t xml:space="preserve">122,1</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2.2.9</w:t>
            </w:r>
          </w:p>
        </w:tc>
        <w:tc>
          <w:tcPr>
            <w:tcW w:w="3798" w:type="dxa"/>
            <w:tcBorders>
              <w:top w:val="nil"/>
              <w:left w:val="nil"/>
              <w:bottom w:val="nil"/>
              <w:right w:val="nil"/>
            </w:tcBorders>
            <w:vMerge w:val="restart"/>
          </w:tcPr>
          <w:p>
            <w:pPr>
              <w:pStyle w:val="0"/>
            </w:pPr>
            <w:r>
              <w:rPr>
                <w:sz w:val="20"/>
              </w:rPr>
              <w:t xml:space="preserve">Индекс физического объема инвестиций в основной капитал в жилищно-коммунальном хозяйстве по виду экономической деятельности "Водоснабжение; водоотведение, организация сбора и утилизации отходов, деятельность по ликвидации загрязнений" к 2021 году </w:t>
            </w:r>
            <w:r>
              <w:rPr>
                <w:sz w:val="20"/>
              </w:rPr>
              <w:t xml:space="preserve">&lt;**&gt;</w:t>
            </w:r>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86,9</w:t>
            </w:r>
          </w:p>
        </w:tc>
        <w:tc>
          <w:tcPr>
            <w:tcW w:w="907" w:type="dxa"/>
            <w:tcBorders>
              <w:top w:val="nil"/>
              <w:left w:val="nil"/>
              <w:bottom w:val="nil"/>
              <w:right w:val="nil"/>
            </w:tcBorders>
          </w:tcPr>
          <w:p>
            <w:pPr>
              <w:pStyle w:val="0"/>
              <w:jc w:val="center"/>
            </w:pPr>
            <w:r>
              <w:rPr>
                <w:sz w:val="20"/>
              </w:rPr>
              <w:t xml:space="preserve">110,5</w:t>
            </w:r>
          </w:p>
        </w:tc>
        <w:tc>
          <w:tcPr>
            <w:tcW w:w="907" w:type="dxa"/>
            <w:tcBorders>
              <w:top w:val="nil"/>
              <w:left w:val="nil"/>
              <w:bottom w:val="nil"/>
              <w:right w:val="nil"/>
            </w:tcBorders>
          </w:tcPr>
          <w:p>
            <w:pPr>
              <w:pStyle w:val="0"/>
              <w:jc w:val="center"/>
            </w:pPr>
            <w:r>
              <w:rPr>
                <w:sz w:val="20"/>
              </w:rPr>
              <w:t xml:space="preserve">136,6</w:t>
            </w:r>
          </w:p>
        </w:tc>
        <w:tc>
          <w:tcPr>
            <w:tcW w:w="1303" w:type="dxa"/>
            <w:tcBorders>
              <w:top w:val="nil"/>
              <w:left w:val="nil"/>
              <w:bottom w:val="nil"/>
              <w:right w:val="nil"/>
            </w:tcBorders>
            <w:vMerge w:val="restart"/>
          </w:tcPr>
          <w:p>
            <w:pPr>
              <w:pStyle w:val="0"/>
              <w:jc w:val="center"/>
            </w:pPr>
            <w:r>
              <w:rPr>
                <w:sz w:val="20"/>
              </w:rPr>
              <w:t xml:space="preserve">Росстат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106,8</w:t>
            </w:r>
          </w:p>
        </w:tc>
        <w:tc>
          <w:tcPr>
            <w:tcW w:w="907" w:type="dxa"/>
            <w:tcBorders>
              <w:top w:val="nil"/>
              <w:left w:val="nil"/>
              <w:bottom w:val="nil"/>
              <w:right w:val="nil"/>
            </w:tcBorders>
          </w:tcPr>
          <w:p>
            <w:pPr>
              <w:pStyle w:val="0"/>
              <w:jc w:val="center"/>
            </w:pPr>
            <w:r>
              <w:rPr>
                <w:sz w:val="20"/>
              </w:rPr>
              <w:t xml:space="preserve">145,5</w:t>
            </w:r>
          </w:p>
        </w:tc>
        <w:tc>
          <w:tcPr>
            <w:tcW w:w="907" w:type="dxa"/>
            <w:tcBorders>
              <w:top w:val="nil"/>
              <w:left w:val="nil"/>
              <w:bottom w:val="nil"/>
              <w:right w:val="nil"/>
            </w:tcBorders>
          </w:tcPr>
          <w:p>
            <w:pPr>
              <w:pStyle w:val="0"/>
              <w:jc w:val="center"/>
            </w:pPr>
            <w:r>
              <w:rPr>
                <w:sz w:val="20"/>
              </w:rPr>
              <w:t xml:space="preserve">180</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2.2.10.</w:t>
            </w:r>
          </w:p>
        </w:tc>
        <w:tc>
          <w:tcPr>
            <w:tcW w:w="3798" w:type="dxa"/>
            <w:tcBorders>
              <w:top w:val="nil"/>
              <w:left w:val="nil"/>
              <w:bottom w:val="nil"/>
              <w:right w:val="nil"/>
            </w:tcBorders>
            <w:vMerge w:val="restart"/>
          </w:tcPr>
          <w:p>
            <w:pPr>
              <w:pStyle w:val="0"/>
            </w:pPr>
            <w:r>
              <w:rPr>
                <w:sz w:val="20"/>
              </w:rPr>
              <w:t xml:space="preserve">Численность занятых в жилищно-коммунальном хозяйстве по виду экономической деятельности "Водоснабжение; водоотведение, организация сбора и утилизации отходов, деятельность по ликвидации загрязнений" </w:t>
            </w:r>
            <w:r>
              <w:rPr>
                <w:sz w:val="20"/>
              </w:rPr>
              <w:t xml:space="preserve">&lt;**&gt;</w:t>
            </w:r>
          </w:p>
        </w:tc>
        <w:tc>
          <w:tcPr>
            <w:tcW w:w="1303" w:type="dxa"/>
            <w:tcBorders>
              <w:top w:val="nil"/>
              <w:left w:val="nil"/>
              <w:bottom w:val="nil"/>
              <w:right w:val="nil"/>
            </w:tcBorders>
            <w:vMerge w:val="restart"/>
          </w:tcPr>
          <w:p>
            <w:pPr>
              <w:pStyle w:val="0"/>
              <w:jc w:val="center"/>
            </w:pPr>
            <w:r>
              <w:rPr>
                <w:sz w:val="20"/>
              </w:rPr>
              <w:t xml:space="preserve">тыс. человек</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708,8</w:t>
            </w:r>
          </w:p>
        </w:tc>
        <w:tc>
          <w:tcPr>
            <w:tcW w:w="907" w:type="dxa"/>
            <w:tcBorders>
              <w:top w:val="nil"/>
              <w:left w:val="nil"/>
              <w:bottom w:val="nil"/>
              <w:right w:val="nil"/>
            </w:tcBorders>
          </w:tcPr>
          <w:p>
            <w:pPr>
              <w:pStyle w:val="0"/>
              <w:jc w:val="center"/>
            </w:pPr>
            <w:r>
              <w:rPr>
                <w:sz w:val="20"/>
              </w:rPr>
              <w:t xml:space="preserve">673,6</w:t>
            </w:r>
          </w:p>
        </w:tc>
        <w:tc>
          <w:tcPr>
            <w:tcW w:w="907" w:type="dxa"/>
            <w:tcBorders>
              <w:top w:val="nil"/>
              <w:left w:val="nil"/>
              <w:bottom w:val="nil"/>
              <w:right w:val="nil"/>
            </w:tcBorders>
          </w:tcPr>
          <w:p>
            <w:pPr>
              <w:pStyle w:val="0"/>
              <w:jc w:val="center"/>
            </w:pPr>
            <w:r>
              <w:rPr>
                <w:sz w:val="20"/>
              </w:rPr>
              <w:t xml:space="preserve">677,6</w:t>
            </w:r>
          </w:p>
        </w:tc>
        <w:tc>
          <w:tcPr>
            <w:tcW w:w="907" w:type="dxa"/>
            <w:tcBorders>
              <w:top w:val="nil"/>
              <w:left w:val="nil"/>
              <w:bottom w:val="nil"/>
              <w:right w:val="nil"/>
            </w:tcBorders>
          </w:tcPr>
          <w:p>
            <w:pPr>
              <w:pStyle w:val="0"/>
              <w:jc w:val="center"/>
            </w:pPr>
            <w:r>
              <w:rPr>
                <w:sz w:val="20"/>
              </w:rPr>
              <w:t xml:space="preserve">693</w:t>
            </w:r>
          </w:p>
        </w:tc>
        <w:tc>
          <w:tcPr>
            <w:tcW w:w="1303" w:type="dxa"/>
            <w:tcBorders>
              <w:top w:val="nil"/>
              <w:left w:val="nil"/>
              <w:bottom w:val="nil"/>
              <w:right w:val="nil"/>
            </w:tcBorders>
            <w:vMerge w:val="restart"/>
          </w:tcPr>
          <w:p>
            <w:pPr>
              <w:pStyle w:val="0"/>
              <w:jc w:val="center"/>
            </w:pPr>
            <w:r>
              <w:rPr>
                <w:sz w:val="20"/>
              </w:rPr>
              <w:t xml:space="preserve">Росстат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708,8</w:t>
            </w:r>
          </w:p>
        </w:tc>
        <w:tc>
          <w:tcPr>
            <w:tcW w:w="907" w:type="dxa"/>
            <w:tcBorders>
              <w:top w:val="nil"/>
              <w:left w:val="nil"/>
              <w:bottom w:val="nil"/>
              <w:right w:val="nil"/>
            </w:tcBorders>
          </w:tcPr>
          <w:p>
            <w:pPr>
              <w:pStyle w:val="0"/>
              <w:jc w:val="center"/>
            </w:pPr>
            <w:r>
              <w:rPr>
                <w:sz w:val="20"/>
              </w:rPr>
              <w:t xml:space="preserve">679</w:t>
            </w:r>
          </w:p>
        </w:tc>
        <w:tc>
          <w:tcPr>
            <w:tcW w:w="907" w:type="dxa"/>
            <w:tcBorders>
              <w:top w:val="nil"/>
              <w:left w:val="nil"/>
              <w:bottom w:val="nil"/>
              <w:right w:val="nil"/>
            </w:tcBorders>
          </w:tcPr>
          <w:p>
            <w:pPr>
              <w:pStyle w:val="0"/>
              <w:jc w:val="center"/>
            </w:pPr>
            <w:r>
              <w:rPr>
                <w:sz w:val="20"/>
              </w:rPr>
              <w:t xml:space="preserve">693,7</w:t>
            </w:r>
          </w:p>
        </w:tc>
        <w:tc>
          <w:tcPr>
            <w:tcW w:w="907" w:type="dxa"/>
            <w:tcBorders>
              <w:top w:val="nil"/>
              <w:left w:val="nil"/>
              <w:bottom w:val="nil"/>
              <w:right w:val="nil"/>
            </w:tcBorders>
          </w:tcPr>
          <w:p>
            <w:pPr>
              <w:pStyle w:val="0"/>
              <w:jc w:val="center"/>
            </w:pPr>
            <w:r>
              <w:rPr>
                <w:sz w:val="20"/>
              </w:rPr>
              <w:t xml:space="preserve">709,5</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2.2.11.</w:t>
            </w:r>
          </w:p>
        </w:tc>
        <w:tc>
          <w:tcPr>
            <w:tcW w:w="3798" w:type="dxa"/>
            <w:tcBorders>
              <w:top w:val="nil"/>
              <w:left w:val="nil"/>
              <w:bottom w:val="nil"/>
              <w:right w:val="nil"/>
            </w:tcBorders>
            <w:vMerge w:val="restart"/>
          </w:tcPr>
          <w:p>
            <w:pPr>
              <w:pStyle w:val="0"/>
            </w:pPr>
            <w:r>
              <w:rPr>
                <w:sz w:val="20"/>
              </w:rPr>
              <w:t xml:space="preserve">Производительность труда в жилищно-коммунальном хозяйстве по виду экономической деятельности "Водоснабжение; водоотведение, организация сбора и утилизации отходов, деятельность по ликвидации загрязнений" к 2021 году </w:t>
            </w:r>
            <w:r>
              <w:rPr>
                <w:sz w:val="20"/>
              </w:rPr>
              <w:t xml:space="preserve">&lt;**&gt;</w:t>
            </w:r>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97,6</w:t>
            </w:r>
          </w:p>
        </w:tc>
        <w:tc>
          <w:tcPr>
            <w:tcW w:w="907" w:type="dxa"/>
            <w:tcBorders>
              <w:top w:val="nil"/>
              <w:left w:val="nil"/>
              <w:bottom w:val="nil"/>
              <w:right w:val="nil"/>
            </w:tcBorders>
          </w:tcPr>
          <w:p>
            <w:pPr>
              <w:pStyle w:val="0"/>
              <w:jc w:val="center"/>
            </w:pPr>
            <w:r>
              <w:rPr>
                <w:sz w:val="20"/>
              </w:rPr>
              <w:t xml:space="preserve">109,9</w:t>
            </w:r>
          </w:p>
        </w:tc>
        <w:tc>
          <w:tcPr>
            <w:tcW w:w="907" w:type="dxa"/>
            <w:tcBorders>
              <w:top w:val="nil"/>
              <w:left w:val="nil"/>
              <w:bottom w:val="nil"/>
              <w:right w:val="nil"/>
            </w:tcBorders>
          </w:tcPr>
          <w:p>
            <w:pPr>
              <w:pStyle w:val="0"/>
              <w:jc w:val="center"/>
            </w:pPr>
            <w:r>
              <w:rPr>
                <w:sz w:val="20"/>
              </w:rPr>
              <w:t xml:space="preserve">121,4</w:t>
            </w:r>
          </w:p>
        </w:tc>
        <w:tc>
          <w:tcPr>
            <w:tcW w:w="1303" w:type="dxa"/>
            <w:tcBorders>
              <w:top w:val="nil"/>
              <w:left w:val="nil"/>
              <w:bottom w:val="nil"/>
              <w:right w:val="nil"/>
            </w:tcBorders>
            <w:vMerge w:val="restart"/>
          </w:tcPr>
          <w:p>
            <w:pPr>
              <w:pStyle w:val="0"/>
              <w:jc w:val="center"/>
            </w:pPr>
            <w:r>
              <w:rPr>
                <w:sz w:val="20"/>
              </w:rPr>
              <w:t xml:space="preserve">Росстат</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98,1</w:t>
            </w:r>
          </w:p>
        </w:tc>
        <w:tc>
          <w:tcPr>
            <w:tcW w:w="907" w:type="dxa"/>
            <w:tcBorders>
              <w:top w:val="nil"/>
              <w:left w:val="nil"/>
              <w:bottom w:val="nil"/>
              <w:right w:val="nil"/>
            </w:tcBorders>
          </w:tcPr>
          <w:p>
            <w:pPr>
              <w:pStyle w:val="0"/>
              <w:jc w:val="center"/>
            </w:pPr>
            <w:r>
              <w:rPr>
                <w:sz w:val="20"/>
              </w:rPr>
              <w:t xml:space="preserve">111,5</w:t>
            </w:r>
          </w:p>
        </w:tc>
        <w:tc>
          <w:tcPr>
            <w:tcW w:w="907" w:type="dxa"/>
            <w:tcBorders>
              <w:top w:val="nil"/>
              <w:left w:val="nil"/>
              <w:bottom w:val="nil"/>
              <w:right w:val="nil"/>
            </w:tcBorders>
          </w:tcPr>
          <w:p>
            <w:pPr>
              <w:pStyle w:val="0"/>
              <w:jc w:val="center"/>
            </w:pPr>
            <w:r>
              <w:rPr>
                <w:sz w:val="20"/>
              </w:rPr>
              <w:t xml:space="preserve">123,3</w:t>
            </w:r>
          </w:p>
        </w:tc>
        <w:tc>
          <w:tcPr>
            <w:tcBorders>
              <w:top w:val="nil"/>
              <w:left w:val="nil"/>
              <w:bottom w:val="nil"/>
              <w:right w:val="nil"/>
            </w:tcBorders>
            <w:vMerge w:val="continue"/>
          </w:tcPr>
          <w:p/>
        </w:tc>
      </w:tr>
      <w:tr>
        <w:tc>
          <w:tcPr>
            <w:gridSpan w:val="9"/>
            <w:tcW w:w="11619" w:type="dxa"/>
            <w:tcBorders>
              <w:top w:val="nil"/>
              <w:left w:val="nil"/>
              <w:bottom w:val="nil"/>
              <w:right w:val="nil"/>
            </w:tcBorders>
          </w:tcPr>
          <w:p>
            <w:pPr>
              <w:pStyle w:val="0"/>
              <w:outlineLvl w:val="3"/>
              <w:jc w:val="center"/>
            </w:pPr>
            <w:r>
              <w:rPr>
                <w:sz w:val="20"/>
              </w:rPr>
              <w:t xml:space="preserve">2.3. Цифровая трансформация отрасли строительства и жилищно-коммунального хозяйства</w:t>
            </w:r>
          </w:p>
        </w:tc>
      </w:tr>
      <w:tr>
        <w:tc>
          <w:tcPr>
            <w:tcW w:w="794" w:type="dxa"/>
            <w:tcBorders>
              <w:top w:val="nil"/>
              <w:left w:val="nil"/>
              <w:bottom w:val="nil"/>
              <w:right w:val="nil"/>
            </w:tcBorders>
            <w:vMerge w:val="restart"/>
          </w:tcPr>
          <w:p>
            <w:pPr>
              <w:pStyle w:val="0"/>
              <w:jc w:val="center"/>
            </w:pPr>
            <w:r>
              <w:rPr>
                <w:sz w:val="20"/>
              </w:rPr>
              <w:t xml:space="preserve">2.3.1.</w:t>
            </w:r>
          </w:p>
        </w:tc>
        <w:tc>
          <w:tcPr>
            <w:tcW w:w="3798" w:type="dxa"/>
            <w:tcBorders>
              <w:top w:val="nil"/>
              <w:left w:val="nil"/>
              <w:bottom w:val="nil"/>
              <w:right w:val="nil"/>
            </w:tcBorders>
            <w:vMerge w:val="restart"/>
          </w:tcPr>
          <w:p>
            <w:pPr>
              <w:pStyle w:val="0"/>
            </w:pPr>
            <w:r>
              <w:rPr>
                <w:sz w:val="20"/>
              </w:rPr>
              <w:t xml:space="preserve">Доля объектов, по которым выдано положительное заключение государственной экспертизы, документация по которым подготовлена в форме информационной модели</w:t>
            </w:r>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0</w:t>
            </w:r>
          </w:p>
        </w:tc>
        <w:tc>
          <w:tcPr>
            <w:tcW w:w="907" w:type="dxa"/>
            <w:tcBorders>
              <w:top w:val="nil"/>
              <w:left w:val="nil"/>
              <w:bottom w:val="nil"/>
              <w:right w:val="nil"/>
            </w:tcBorders>
          </w:tcPr>
          <w:p>
            <w:pPr>
              <w:pStyle w:val="0"/>
              <w:jc w:val="center"/>
            </w:pPr>
            <w:r>
              <w:rPr>
                <w:sz w:val="20"/>
              </w:rPr>
              <w:t xml:space="preserve">15</w:t>
            </w:r>
          </w:p>
        </w:tc>
        <w:tc>
          <w:tcPr>
            <w:tcW w:w="907" w:type="dxa"/>
            <w:tcBorders>
              <w:top w:val="nil"/>
              <w:left w:val="nil"/>
              <w:bottom w:val="nil"/>
              <w:right w:val="nil"/>
            </w:tcBorders>
          </w:tcPr>
          <w:p>
            <w:pPr>
              <w:pStyle w:val="0"/>
              <w:jc w:val="center"/>
            </w:pPr>
            <w:r>
              <w:rPr>
                <w:sz w:val="20"/>
              </w:rPr>
              <w:t xml:space="preserve">30</w:t>
            </w:r>
          </w:p>
        </w:tc>
        <w:tc>
          <w:tcPr>
            <w:tcW w:w="907" w:type="dxa"/>
            <w:tcBorders>
              <w:top w:val="nil"/>
              <w:left w:val="nil"/>
              <w:bottom w:val="nil"/>
              <w:right w:val="nil"/>
            </w:tcBorders>
          </w:tcPr>
          <w:p>
            <w:pPr>
              <w:pStyle w:val="0"/>
              <w:jc w:val="center"/>
            </w:pPr>
            <w:r>
              <w:rPr>
                <w:sz w:val="20"/>
              </w:rPr>
              <w:t xml:space="preserve">50</w:t>
            </w:r>
          </w:p>
        </w:tc>
        <w:tc>
          <w:tcPr>
            <w:tcW w:w="1303" w:type="dxa"/>
            <w:tcBorders>
              <w:top w:val="nil"/>
              <w:left w:val="nil"/>
              <w:bottom w:val="nil"/>
              <w:right w:val="nil"/>
            </w:tcBorders>
            <w:vMerge w:val="restart"/>
          </w:tcPr>
          <w:p>
            <w:pPr>
              <w:pStyle w:val="0"/>
              <w:jc w:val="center"/>
            </w:pPr>
            <w:r>
              <w:rPr>
                <w:sz w:val="20"/>
              </w:rPr>
              <w:t xml:space="preserve">данные государственной информационной системы "Единый государственный реестр заключений экспертизы проектной документации объектов капитального строительства"</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0</w:t>
            </w:r>
          </w:p>
        </w:tc>
        <w:tc>
          <w:tcPr>
            <w:tcW w:w="907" w:type="dxa"/>
            <w:tcBorders>
              <w:top w:val="nil"/>
              <w:left w:val="nil"/>
              <w:bottom w:val="nil"/>
              <w:right w:val="nil"/>
            </w:tcBorders>
          </w:tcPr>
          <w:p>
            <w:pPr>
              <w:pStyle w:val="0"/>
              <w:jc w:val="center"/>
            </w:pPr>
            <w:r>
              <w:rPr>
                <w:sz w:val="20"/>
              </w:rPr>
              <w:t xml:space="preserve">20</w:t>
            </w:r>
          </w:p>
        </w:tc>
        <w:tc>
          <w:tcPr>
            <w:tcW w:w="907" w:type="dxa"/>
            <w:tcBorders>
              <w:top w:val="nil"/>
              <w:left w:val="nil"/>
              <w:bottom w:val="nil"/>
              <w:right w:val="nil"/>
            </w:tcBorders>
          </w:tcPr>
          <w:p>
            <w:pPr>
              <w:pStyle w:val="0"/>
              <w:jc w:val="center"/>
            </w:pPr>
            <w:r>
              <w:rPr>
                <w:sz w:val="20"/>
              </w:rPr>
              <w:t xml:space="preserve">50</w:t>
            </w:r>
          </w:p>
        </w:tc>
        <w:tc>
          <w:tcPr>
            <w:tcW w:w="907" w:type="dxa"/>
            <w:tcBorders>
              <w:top w:val="nil"/>
              <w:left w:val="nil"/>
              <w:bottom w:val="nil"/>
              <w:right w:val="nil"/>
            </w:tcBorders>
          </w:tcPr>
          <w:p>
            <w:pPr>
              <w:pStyle w:val="0"/>
              <w:jc w:val="center"/>
            </w:pPr>
            <w:r>
              <w:rPr>
                <w:sz w:val="20"/>
              </w:rPr>
              <w:t xml:space="preserve">70</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2.3.2.</w:t>
            </w:r>
          </w:p>
        </w:tc>
        <w:tc>
          <w:tcPr>
            <w:tcW w:w="3798" w:type="dxa"/>
            <w:tcBorders>
              <w:top w:val="nil"/>
              <w:left w:val="nil"/>
              <w:bottom w:val="nil"/>
              <w:right w:val="nil"/>
            </w:tcBorders>
            <w:vMerge w:val="restart"/>
          </w:tcPr>
          <w:p>
            <w:pPr>
              <w:pStyle w:val="0"/>
            </w:pPr>
            <w:r>
              <w:rPr>
                <w:sz w:val="20"/>
              </w:rPr>
              <w:t xml:space="preserve">Количество жизненных ситуаций, охватываемых в рамках суперсервиса "Цифровое строительство"</w:t>
            </w:r>
          </w:p>
        </w:tc>
        <w:tc>
          <w:tcPr>
            <w:tcW w:w="1303" w:type="dxa"/>
            <w:tcBorders>
              <w:top w:val="nil"/>
              <w:left w:val="nil"/>
              <w:bottom w:val="nil"/>
              <w:right w:val="nil"/>
            </w:tcBorders>
            <w:vMerge w:val="restart"/>
          </w:tcPr>
          <w:p>
            <w:pPr>
              <w:pStyle w:val="0"/>
              <w:jc w:val="center"/>
            </w:pPr>
            <w:r>
              <w:rPr>
                <w:sz w:val="20"/>
              </w:rPr>
              <w:t xml:space="preserve">штук</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7</w:t>
            </w:r>
          </w:p>
        </w:tc>
        <w:tc>
          <w:tcPr>
            <w:tcW w:w="907" w:type="dxa"/>
            <w:tcBorders>
              <w:top w:val="nil"/>
              <w:left w:val="nil"/>
              <w:bottom w:val="nil"/>
              <w:right w:val="nil"/>
            </w:tcBorders>
          </w:tcPr>
          <w:p>
            <w:pPr>
              <w:pStyle w:val="0"/>
              <w:jc w:val="center"/>
            </w:pPr>
            <w:r>
              <w:rPr>
                <w:sz w:val="20"/>
              </w:rPr>
              <w:t xml:space="preserve">29</w:t>
            </w:r>
          </w:p>
        </w:tc>
        <w:tc>
          <w:tcPr>
            <w:tcW w:w="907" w:type="dxa"/>
            <w:tcBorders>
              <w:top w:val="nil"/>
              <w:left w:val="nil"/>
              <w:bottom w:val="nil"/>
              <w:right w:val="nil"/>
            </w:tcBorders>
          </w:tcPr>
          <w:p>
            <w:pPr>
              <w:pStyle w:val="0"/>
              <w:jc w:val="center"/>
            </w:pPr>
            <w:r>
              <w:rPr>
                <w:sz w:val="20"/>
              </w:rPr>
              <w:t xml:space="preserve">-</w:t>
            </w:r>
          </w:p>
        </w:tc>
        <w:tc>
          <w:tcPr>
            <w:tcW w:w="907" w:type="dxa"/>
            <w:tcBorders>
              <w:top w:val="nil"/>
              <w:left w:val="nil"/>
              <w:bottom w:val="nil"/>
              <w:right w:val="nil"/>
            </w:tcBorders>
          </w:tcPr>
          <w:p>
            <w:pPr>
              <w:pStyle w:val="0"/>
              <w:jc w:val="center"/>
            </w:pPr>
            <w:r>
              <w:rPr>
                <w:sz w:val="20"/>
              </w:rPr>
              <w:t xml:space="preserve">-</w:t>
            </w:r>
          </w:p>
        </w:tc>
        <w:tc>
          <w:tcPr>
            <w:tcW w:w="1303" w:type="dxa"/>
            <w:tcBorders>
              <w:top w:val="nil"/>
              <w:left w:val="nil"/>
              <w:bottom w:val="nil"/>
              <w:right w:val="nil"/>
            </w:tcBorders>
            <w:vMerge w:val="restart"/>
          </w:tcPr>
          <w:p>
            <w:pPr>
              <w:pStyle w:val="0"/>
              <w:jc w:val="center"/>
            </w:pPr>
            <w:r>
              <w:rPr>
                <w:sz w:val="20"/>
              </w:rPr>
              <w:t xml:space="preserve">акционерное общество "ДОМ.РФ"</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7</w:t>
            </w:r>
          </w:p>
        </w:tc>
        <w:tc>
          <w:tcPr>
            <w:tcW w:w="907" w:type="dxa"/>
            <w:tcBorders>
              <w:top w:val="nil"/>
              <w:left w:val="nil"/>
              <w:bottom w:val="nil"/>
              <w:right w:val="nil"/>
            </w:tcBorders>
          </w:tcPr>
          <w:p>
            <w:pPr>
              <w:pStyle w:val="0"/>
              <w:jc w:val="center"/>
            </w:pPr>
            <w:r>
              <w:rPr>
                <w:sz w:val="20"/>
              </w:rPr>
              <w:t xml:space="preserve">32</w:t>
            </w:r>
          </w:p>
        </w:tc>
        <w:tc>
          <w:tcPr>
            <w:tcW w:w="907" w:type="dxa"/>
            <w:tcBorders>
              <w:top w:val="nil"/>
              <w:left w:val="nil"/>
              <w:bottom w:val="nil"/>
              <w:right w:val="nil"/>
            </w:tcBorders>
          </w:tcPr>
          <w:p>
            <w:pPr>
              <w:pStyle w:val="0"/>
              <w:jc w:val="center"/>
            </w:pPr>
            <w:r>
              <w:rPr>
                <w:sz w:val="20"/>
              </w:rPr>
              <w:t xml:space="preserve">-</w:t>
            </w:r>
          </w:p>
        </w:tc>
        <w:tc>
          <w:tcPr>
            <w:tcW w:w="907" w:type="dxa"/>
            <w:tcBorders>
              <w:top w:val="nil"/>
              <w:left w:val="nil"/>
              <w:bottom w:val="nil"/>
              <w:right w:val="nil"/>
            </w:tcBorders>
          </w:tcPr>
          <w:p>
            <w:pPr>
              <w:pStyle w:val="0"/>
              <w:jc w:val="center"/>
            </w:pPr>
            <w:r>
              <w:rPr>
                <w:sz w:val="20"/>
              </w:rPr>
              <w:t xml:space="preserve">-</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2.3.3.</w:t>
            </w:r>
          </w:p>
        </w:tc>
        <w:tc>
          <w:tcPr>
            <w:tcW w:w="3798" w:type="dxa"/>
            <w:tcBorders>
              <w:top w:val="nil"/>
              <w:left w:val="nil"/>
              <w:bottom w:val="nil"/>
              <w:right w:val="nil"/>
            </w:tcBorders>
            <w:vMerge w:val="restart"/>
          </w:tcPr>
          <w:p>
            <w:pPr>
              <w:pStyle w:val="0"/>
            </w:pPr>
            <w:r>
              <w:rPr>
                <w:sz w:val="20"/>
              </w:rPr>
              <w:t xml:space="preserve">Доля жителей городов в возрасте от 14 лет, имеющих возможность принять участие в принятии решений по вопросам городского развития с использованием цифровых технологий</w:t>
            </w:r>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40</w:t>
            </w:r>
          </w:p>
        </w:tc>
        <w:tc>
          <w:tcPr>
            <w:tcW w:w="907" w:type="dxa"/>
            <w:tcBorders>
              <w:top w:val="nil"/>
              <w:left w:val="nil"/>
              <w:bottom w:val="nil"/>
              <w:right w:val="nil"/>
            </w:tcBorders>
          </w:tcPr>
          <w:p>
            <w:pPr>
              <w:pStyle w:val="0"/>
              <w:jc w:val="center"/>
            </w:pPr>
            <w:r>
              <w:rPr>
                <w:sz w:val="20"/>
              </w:rPr>
              <w:t xml:space="preserve">55</w:t>
            </w:r>
          </w:p>
        </w:tc>
        <w:tc>
          <w:tcPr>
            <w:tcW w:w="907" w:type="dxa"/>
            <w:tcBorders>
              <w:top w:val="nil"/>
              <w:left w:val="nil"/>
              <w:bottom w:val="nil"/>
              <w:right w:val="nil"/>
            </w:tcBorders>
          </w:tcPr>
          <w:p>
            <w:pPr>
              <w:pStyle w:val="0"/>
              <w:jc w:val="center"/>
            </w:pPr>
            <w:r>
              <w:rPr>
                <w:sz w:val="20"/>
              </w:rPr>
              <w:t xml:space="preserve">80</w:t>
            </w:r>
          </w:p>
        </w:tc>
        <w:tc>
          <w:tcPr>
            <w:tcW w:w="907" w:type="dxa"/>
            <w:tcBorders>
              <w:top w:val="nil"/>
              <w:left w:val="nil"/>
              <w:bottom w:val="nil"/>
              <w:right w:val="nil"/>
            </w:tcBorders>
          </w:tcPr>
          <w:p>
            <w:pPr>
              <w:pStyle w:val="0"/>
              <w:jc w:val="center"/>
            </w:pPr>
            <w:r>
              <w:rPr>
                <w:sz w:val="20"/>
              </w:rPr>
              <w:t xml:space="preserve">80</w:t>
            </w:r>
          </w:p>
        </w:tc>
        <w:tc>
          <w:tcPr>
            <w:tcW w:w="1303" w:type="dxa"/>
            <w:tcBorders>
              <w:top w:val="nil"/>
              <w:left w:val="nil"/>
              <w:bottom w:val="nil"/>
              <w:right w:val="nil"/>
            </w:tcBorders>
            <w:vMerge w:val="restart"/>
          </w:tcPr>
          <w:p>
            <w:pPr>
              <w:pStyle w:val="0"/>
              <w:jc w:val="center"/>
            </w:pPr>
            <w:r>
              <w:rPr>
                <w:sz w:val="20"/>
              </w:rPr>
              <w:t xml:space="preserve">Минстрой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40</w:t>
            </w:r>
          </w:p>
        </w:tc>
        <w:tc>
          <w:tcPr>
            <w:tcW w:w="907" w:type="dxa"/>
            <w:tcBorders>
              <w:top w:val="nil"/>
              <w:left w:val="nil"/>
              <w:bottom w:val="nil"/>
              <w:right w:val="nil"/>
            </w:tcBorders>
          </w:tcPr>
          <w:p>
            <w:pPr>
              <w:pStyle w:val="0"/>
              <w:jc w:val="center"/>
            </w:pPr>
            <w:r>
              <w:rPr>
                <w:sz w:val="20"/>
              </w:rPr>
              <w:t xml:space="preserve">65</w:t>
            </w:r>
          </w:p>
        </w:tc>
        <w:tc>
          <w:tcPr>
            <w:tcW w:w="907" w:type="dxa"/>
            <w:tcBorders>
              <w:top w:val="nil"/>
              <w:left w:val="nil"/>
              <w:bottom w:val="nil"/>
              <w:right w:val="nil"/>
            </w:tcBorders>
          </w:tcPr>
          <w:p>
            <w:pPr>
              <w:pStyle w:val="0"/>
              <w:jc w:val="center"/>
            </w:pPr>
            <w:r>
              <w:rPr>
                <w:sz w:val="20"/>
              </w:rPr>
              <w:t xml:space="preserve">80</w:t>
            </w:r>
          </w:p>
        </w:tc>
        <w:tc>
          <w:tcPr>
            <w:tcW w:w="907" w:type="dxa"/>
            <w:tcBorders>
              <w:top w:val="nil"/>
              <w:left w:val="nil"/>
              <w:bottom w:val="nil"/>
              <w:right w:val="nil"/>
            </w:tcBorders>
          </w:tcPr>
          <w:p>
            <w:pPr>
              <w:pStyle w:val="0"/>
              <w:jc w:val="center"/>
            </w:pPr>
            <w:r>
              <w:rPr>
                <w:sz w:val="20"/>
              </w:rPr>
              <w:t xml:space="preserve">80</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2.3.4.</w:t>
            </w:r>
          </w:p>
        </w:tc>
        <w:tc>
          <w:tcPr>
            <w:tcW w:w="3798" w:type="dxa"/>
            <w:tcBorders>
              <w:top w:val="nil"/>
              <w:left w:val="nil"/>
              <w:bottom w:val="nil"/>
              <w:right w:val="nil"/>
            </w:tcBorders>
            <w:vMerge w:val="restart"/>
          </w:tcPr>
          <w:p>
            <w:pPr>
              <w:pStyle w:val="0"/>
            </w:pPr>
            <w:r>
              <w:rPr>
                <w:sz w:val="20"/>
              </w:rPr>
              <w:t xml:space="preserve">Доля общих собраний собственников помещений в многоквартирных домах, проведенных посредством электронного голосования, в общем количестве проведенных общих собраний собственников</w:t>
            </w:r>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3</w:t>
            </w:r>
          </w:p>
        </w:tc>
        <w:tc>
          <w:tcPr>
            <w:tcW w:w="907" w:type="dxa"/>
            <w:tcBorders>
              <w:top w:val="nil"/>
              <w:left w:val="nil"/>
              <w:bottom w:val="nil"/>
              <w:right w:val="nil"/>
            </w:tcBorders>
          </w:tcPr>
          <w:p>
            <w:pPr>
              <w:pStyle w:val="0"/>
              <w:jc w:val="center"/>
            </w:pPr>
            <w:r>
              <w:rPr>
                <w:sz w:val="20"/>
              </w:rPr>
              <w:t xml:space="preserve">15</w:t>
            </w:r>
          </w:p>
        </w:tc>
        <w:tc>
          <w:tcPr>
            <w:tcW w:w="907" w:type="dxa"/>
            <w:tcBorders>
              <w:top w:val="nil"/>
              <w:left w:val="nil"/>
              <w:bottom w:val="nil"/>
              <w:right w:val="nil"/>
            </w:tcBorders>
          </w:tcPr>
          <w:p>
            <w:pPr>
              <w:pStyle w:val="0"/>
              <w:jc w:val="center"/>
            </w:pPr>
            <w:r>
              <w:rPr>
                <w:sz w:val="20"/>
              </w:rPr>
              <w:t xml:space="preserve">80</w:t>
            </w:r>
          </w:p>
        </w:tc>
        <w:tc>
          <w:tcPr>
            <w:tcW w:w="907" w:type="dxa"/>
            <w:tcBorders>
              <w:top w:val="nil"/>
              <w:left w:val="nil"/>
              <w:bottom w:val="nil"/>
              <w:right w:val="nil"/>
            </w:tcBorders>
          </w:tcPr>
          <w:p>
            <w:pPr>
              <w:pStyle w:val="0"/>
              <w:jc w:val="center"/>
            </w:pPr>
            <w:r>
              <w:rPr>
                <w:sz w:val="20"/>
              </w:rPr>
              <w:t xml:space="preserve">80</w:t>
            </w:r>
          </w:p>
        </w:tc>
        <w:tc>
          <w:tcPr>
            <w:tcW w:w="1303" w:type="dxa"/>
            <w:tcBorders>
              <w:top w:val="nil"/>
              <w:left w:val="nil"/>
              <w:bottom w:val="nil"/>
              <w:right w:val="nil"/>
            </w:tcBorders>
            <w:vMerge w:val="restart"/>
          </w:tcPr>
          <w:p>
            <w:pPr>
              <w:pStyle w:val="0"/>
              <w:jc w:val="center"/>
            </w:pPr>
            <w:r>
              <w:rPr>
                <w:sz w:val="20"/>
              </w:rPr>
              <w:t xml:space="preserve">Минстрой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3</w:t>
            </w:r>
          </w:p>
        </w:tc>
        <w:tc>
          <w:tcPr>
            <w:tcW w:w="907" w:type="dxa"/>
            <w:tcBorders>
              <w:top w:val="nil"/>
              <w:left w:val="nil"/>
              <w:bottom w:val="nil"/>
              <w:right w:val="nil"/>
            </w:tcBorders>
          </w:tcPr>
          <w:p>
            <w:pPr>
              <w:pStyle w:val="0"/>
              <w:jc w:val="center"/>
            </w:pPr>
            <w:r>
              <w:rPr>
                <w:sz w:val="20"/>
              </w:rPr>
              <w:t xml:space="preserve">40</w:t>
            </w:r>
          </w:p>
        </w:tc>
        <w:tc>
          <w:tcPr>
            <w:tcW w:w="907" w:type="dxa"/>
            <w:tcBorders>
              <w:top w:val="nil"/>
              <w:left w:val="nil"/>
              <w:bottom w:val="nil"/>
              <w:right w:val="nil"/>
            </w:tcBorders>
          </w:tcPr>
          <w:p>
            <w:pPr>
              <w:pStyle w:val="0"/>
              <w:jc w:val="center"/>
            </w:pPr>
            <w:r>
              <w:rPr>
                <w:sz w:val="20"/>
              </w:rPr>
              <w:t xml:space="preserve">80</w:t>
            </w:r>
          </w:p>
        </w:tc>
        <w:tc>
          <w:tcPr>
            <w:tcW w:w="907" w:type="dxa"/>
            <w:tcBorders>
              <w:top w:val="nil"/>
              <w:left w:val="nil"/>
              <w:bottom w:val="nil"/>
              <w:right w:val="nil"/>
            </w:tcBorders>
          </w:tcPr>
          <w:p>
            <w:pPr>
              <w:pStyle w:val="0"/>
              <w:jc w:val="center"/>
            </w:pPr>
            <w:r>
              <w:rPr>
                <w:sz w:val="20"/>
              </w:rPr>
              <w:t xml:space="preserve">80</w:t>
            </w:r>
          </w:p>
        </w:tc>
        <w:tc>
          <w:tcPr>
            <w:tcBorders>
              <w:top w:val="nil"/>
              <w:left w:val="nil"/>
              <w:bottom w:val="nil"/>
              <w:right w:val="nil"/>
            </w:tcBorders>
            <w:vMerge w:val="continue"/>
          </w:tcPr>
          <w:p/>
        </w:tc>
      </w:tr>
      <w:tr>
        <w:tc>
          <w:tcPr>
            <w:gridSpan w:val="9"/>
            <w:tcW w:w="11619" w:type="dxa"/>
            <w:tcBorders>
              <w:top w:val="nil"/>
              <w:left w:val="nil"/>
              <w:bottom w:val="nil"/>
              <w:right w:val="nil"/>
            </w:tcBorders>
          </w:tcPr>
          <w:p>
            <w:pPr>
              <w:pStyle w:val="0"/>
              <w:outlineLvl w:val="2"/>
              <w:jc w:val="center"/>
            </w:pPr>
            <w:r>
              <w:rPr>
                <w:sz w:val="20"/>
              </w:rPr>
              <w:t xml:space="preserve">3. Минимизация негативного воздействия на окружающую среду</w:t>
            </w:r>
          </w:p>
        </w:tc>
      </w:tr>
      <w:tr>
        <w:tc>
          <w:tcPr>
            <w:tcW w:w="794" w:type="dxa"/>
            <w:tcBorders>
              <w:top w:val="nil"/>
              <w:left w:val="nil"/>
              <w:bottom w:val="nil"/>
              <w:right w:val="nil"/>
            </w:tcBorders>
            <w:vMerge w:val="restart"/>
          </w:tcPr>
          <w:p>
            <w:pPr>
              <w:pStyle w:val="0"/>
              <w:jc w:val="center"/>
            </w:pPr>
            <w:r>
              <w:rPr>
                <w:sz w:val="20"/>
              </w:rPr>
              <w:t xml:space="preserve">3.1.</w:t>
            </w:r>
          </w:p>
        </w:tc>
        <w:tc>
          <w:tcPr>
            <w:tcW w:w="3798" w:type="dxa"/>
            <w:tcBorders>
              <w:top w:val="nil"/>
              <w:left w:val="nil"/>
              <w:bottom w:val="nil"/>
              <w:right w:val="nil"/>
            </w:tcBorders>
            <w:vMerge w:val="restart"/>
          </w:tcPr>
          <w:p>
            <w:pPr>
              <w:pStyle w:val="0"/>
            </w:pPr>
            <w:r>
              <w:rPr>
                <w:sz w:val="20"/>
              </w:rPr>
              <w:t xml:space="preserve">Снижение выброса парниковых газов за счет снижения потерь на тепловых сетях в результате проведения ежегодной замены тепловых сетей (к 2019 году)</w:t>
            </w:r>
          </w:p>
        </w:tc>
        <w:tc>
          <w:tcPr>
            <w:tcW w:w="1303" w:type="dxa"/>
            <w:tcBorders>
              <w:top w:val="nil"/>
              <w:left w:val="nil"/>
              <w:bottom w:val="nil"/>
              <w:right w:val="nil"/>
            </w:tcBorders>
            <w:vMerge w:val="restart"/>
          </w:tcPr>
          <w:p>
            <w:pPr>
              <w:pStyle w:val="0"/>
              <w:jc w:val="center"/>
            </w:pPr>
            <w:r>
              <w:rPr>
                <w:sz w:val="20"/>
              </w:rPr>
              <w:t xml:space="preserve">млн. тонн эквивалента CO2</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1,95</w:t>
            </w:r>
          </w:p>
        </w:tc>
        <w:tc>
          <w:tcPr>
            <w:tcW w:w="907" w:type="dxa"/>
            <w:tcBorders>
              <w:top w:val="nil"/>
              <w:left w:val="nil"/>
              <w:bottom w:val="nil"/>
              <w:right w:val="nil"/>
            </w:tcBorders>
          </w:tcPr>
          <w:p>
            <w:pPr>
              <w:pStyle w:val="0"/>
              <w:jc w:val="center"/>
            </w:pPr>
            <w:r>
              <w:rPr>
                <w:sz w:val="20"/>
              </w:rPr>
              <w:t xml:space="preserve">0,45</w:t>
            </w:r>
          </w:p>
        </w:tc>
        <w:tc>
          <w:tcPr>
            <w:tcW w:w="907" w:type="dxa"/>
            <w:tcBorders>
              <w:top w:val="nil"/>
              <w:left w:val="nil"/>
              <w:bottom w:val="nil"/>
              <w:right w:val="nil"/>
            </w:tcBorders>
          </w:tcPr>
          <w:p>
            <w:pPr>
              <w:pStyle w:val="0"/>
              <w:jc w:val="center"/>
            </w:pPr>
            <w:r>
              <w:rPr>
                <w:sz w:val="20"/>
              </w:rPr>
              <w:t xml:space="preserve">7,83</w:t>
            </w:r>
          </w:p>
        </w:tc>
        <w:tc>
          <w:tcPr>
            <w:tcW w:w="907" w:type="dxa"/>
            <w:tcBorders>
              <w:top w:val="nil"/>
              <w:left w:val="nil"/>
              <w:bottom w:val="nil"/>
              <w:right w:val="nil"/>
            </w:tcBorders>
          </w:tcPr>
          <w:p>
            <w:pPr>
              <w:pStyle w:val="0"/>
              <w:jc w:val="center"/>
            </w:pPr>
            <w:r>
              <w:rPr>
                <w:sz w:val="20"/>
              </w:rPr>
              <w:t xml:space="preserve">20,13</w:t>
            </w:r>
          </w:p>
        </w:tc>
        <w:tc>
          <w:tcPr>
            <w:tcW w:w="1303" w:type="dxa"/>
            <w:tcBorders>
              <w:top w:val="nil"/>
              <w:left w:val="nil"/>
              <w:bottom w:val="nil"/>
              <w:right w:val="nil"/>
            </w:tcBorders>
            <w:vMerge w:val="restart"/>
          </w:tcPr>
          <w:p>
            <w:pPr>
              <w:pStyle w:val="0"/>
              <w:jc w:val="center"/>
            </w:pPr>
            <w:r>
              <w:rPr>
                <w:sz w:val="20"/>
              </w:rPr>
              <w:t xml:space="preserve">Минстрой России, Минэкономразвития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1,95</w:t>
            </w:r>
          </w:p>
        </w:tc>
        <w:tc>
          <w:tcPr>
            <w:tcW w:w="907" w:type="dxa"/>
            <w:tcBorders>
              <w:top w:val="nil"/>
              <w:left w:val="nil"/>
              <w:bottom w:val="nil"/>
              <w:right w:val="nil"/>
            </w:tcBorders>
          </w:tcPr>
          <w:p>
            <w:pPr>
              <w:pStyle w:val="0"/>
              <w:jc w:val="center"/>
            </w:pPr>
            <w:r>
              <w:rPr>
                <w:sz w:val="20"/>
              </w:rPr>
              <w:t xml:space="preserve">4,95</w:t>
            </w:r>
          </w:p>
        </w:tc>
        <w:tc>
          <w:tcPr>
            <w:tcW w:w="907" w:type="dxa"/>
            <w:tcBorders>
              <w:top w:val="nil"/>
              <w:left w:val="nil"/>
              <w:bottom w:val="nil"/>
              <w:right w:val="nil"/>
            </w:tcBorders>
          </w:tcPr>
          <w:p>
            <w:pPr>
              <w:pStyle w:val="0"/>
              <w:jc w:val="center"/>
            </w:pPr>
            <w:r>
              <w:rPr>
                <w:sz w:val="20"/>
              </w:rPr>
              <w:t xml:space="preserve">20,95</w:t>
            </w:r>
          </w:p>
        </w:tc>
        <w:tc>
          <w:tcPr>
            <w:tcW w:w="907" w:type="dxa"/>
            <w:tcBorders>
              <w:top w:val="nil"/>
              <w:left w:val="nil"/>
              <w:bottom w:val="nil"/>
              <w:right w:val="nil"/>
            </w:tcBorders>
          </w:tcPr>
          <w:p>
            <w:pPr>
              <w:pStyle w:val="0"/>
              <w:jc w:val="center"/>
            </w:pPr>
            <w:r>
              <w:rPr>
                <w:sz w:val="20"/>
              </w:rPr>
              <w:t xml:space="preserve">47,58</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3.2</w:t>
            </w:r>
          </w:p>
        </w:tc>
        <w:tc>
          <w:tcPr>
            <w:tcW w:w="3798" w:type="dxa"/>
            <w:tcBorders>
              <w:top w:val="nil"/>
              <w:left w:val="nil"/>
              <w:bottom w:val="nil"/>
              <w:right w:val="nil"/>
            </w:tcBorders>
            <w:vMerge w:val="restart"/>
          </w:tcPr>
          <w:p>
            <w:pPr>
              <w:pStyle w:val="0"/>
            </w:pPr>
            <w:r>
              <w:rPr>
                <w:sz w:val="20"/>
              </w:rPr>
              <w:t xml:space="preserve">Снижение выброса парниковых газов за счет повышения экологичности объектов тепловой генерации вследствие модернизации с замещением низкоэкологичных видов топлива (уголь, мазут) (к 2019 году)</w:t>
            </w:r>
          </w:p>
        </w:tc>
        <w:tc>
          <w:tcPr>
            <w:tcW w:w="1303" w:type="dxa"/>
            <w:tcBorders>
              <w:top w:val="nil"/>
              <w:left w:val="nil"/>
              <w:bottom w:val="nil"/>
              <w:right w:val="nil"/>
            </w:tcBorders>
            <w:vMerge w:val="restart"/>
          </w:tcPr>
          <w:p>
            <w:pPr>
              <w:pStyle w:val="0"/>
              <w:jc w:val="center"/>
            </w:pPr>
            <w:r>
              <w:rPr>
                <w:sz w:val="20"/>
              </w:rPr>
              <w:t xml:space="preserve">млн. тонн эквивалента CO2</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2,66</w:t>
            </w:r>
          </w:p>
        </w:tc>
        <w:tc>
          <w:tcPr>
            <w:tcW w:w="907" w:type="dxa"/>
            <w:tcBorders>
              <w:top w:val="nil"/>
              <w:left w:val="nil"/>
              <w:bottom w:val="nil"/>
              <w:right w:val="nil"/>
            </w:tcBorders>
          </w:tcPr>
          <w:p>
            <w:pPr>
              <w:pStyle w:val="0"/>
              <w:jc w:val="center"/>
            </w:pPr>
            <w:r>
              <w:rPr>
                <w:sz w:val="20"/>
              </w:rPr>
              <w:t xml:space="preserve">2,68</w:t>
            </w:r>
          </w:p>
        </w:tc>
        <w:tc>
          <w:tcPr>
            <w:tcW w:w="907" w:type="dxa"/>
            <w:tcBorders>
              <w:top w:val="nil"/>
              <w:left w:val="nil"/>
              <w:bottom w:val="nil"/>
              <w:right w:val="nil"/>
            </w:tcBorders>
          </w:tcPr>
          <w:p>
            <w:pPr>
              <w:pStyle w:val="0"/>
              <w:jc w:val="center"/>
            </w:pPr>
            <w:r>
              <w:rPr>
                <w:sz w:val="20"/>
              </w:rPr>
              <w:t xml:space="preserve">12</w:t>
            </w:r>
          </w:p>
        </w:tc>
        <w:tc>
          <w:tcPr>
            <w:tcW w:w="907" w:type="dxa"/>
            <w:tcBorders>
              <w:top w:val="nil"/>
              <w:left w:val="nil"/>
              <w:bottom w:val="nil"/>
              <w:right w:val="nil"/>
            </w:tcBorders>
          </w:tcPr>
          <w:p>
            <w:pPr>
              <w:pStyle w:val="0"/>
              <w:jc w:val="center"/>
            </w:pPr>
            <w:r>
              <w:rPr>
                <w:sz w:val="20"/>
              </w:rPr>
              <w:t xml:space="preserve">24,23</w:t>
            </w:r>
          </w:p>
        </w:tc>
        <w:tc>
          <w:tcPr>
            <w:tcW w:w="1303" w:type="dxa"/>
            <w:tcBorders>
              <w:top w:val="nil"/>
              <w:left w:val="nil"/>
              <w:bottom w:val="nil"/>
              <w:right w:val="nil"/>
            </w:tcBorders>
            <w:vMerge w:val="restart"/>
          </w:tcPr>
          <w:p>
            <w:pPr>
              <w:pStyle w:val="0"/>
              <w:jc w:val="center"/>
            </w:pPr>
            <w:r>
              <w:rPr>
                <w:sz w:val="20"/>
              </w:rPr>
              <w:t xml:space="preserve">Минстрой России, Минэкономразвития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2,66</w:t>
            </w:r>
          </w:p>
        </w:tc>
        <w:tc>
          <w:tcPr>
            <w:tcW w:w="907" w:type="dxa"/>
            <w:tcBorders>
              <w:top w:val="nil"/>
              <w:left w:val="nil"/>
              <w:bottom w:val="nil"/>
              <w:right w:val="nil"/>
            </w:tcBorders>
          </w:tcPr>
          <w:p>
            <w:pPr>
              <w:pStyle w:val="0"/>
              <w:jc w:val="center"/>
            </w:pPr>
            <w:r>
              <w:rPr>
                <w:sz w:val="20"/>
              </w:rPr>
              <w:t xml:space="preserve">16,62</w:t>
            </w:r>
          </w:p>
        </w:tc>
        <w:tc>
          <w:tcPr>
            <w:tcW w:w="907" w:type="dxa"/>
            <w:tcBorders>
              <w:top w:val="nil"/>
              <w:left w:val="nil"/>
              <w:bottom w:val="nil"/>
              <w:right w:val="nil"/>
            </w:tcBorders>
          </w:tcPr>
          <w:p>
            <w:pPr>
              <w:pStyle w:val="0"/>
              <w:jc w:val="center"/>
            </w:pPr>
            <w:r>
              <w:rPr>
                <w:sz w:val="20"/>
              </w:rPr>
              <w:t xml:space="preserve">36,56</w:t>
            </w:r>
          </w:p>
        </w:tc>
        <w:tc>
          <w:tcPr>
            <w:tcW w:w="907" w:type="dxa"/>
            <w:tcBorders>
              <w:top w:val="nil"/>
              <w:left w:val="nil"/>
              <w:bottom w:val="nil"/>
              <w:right w:val="nil"/>
            </w:tcBorders>
          </w:tcPr>
          <w:p>
            <w:pPr>
              <w:pStyle w:val="0"/>
              <w:jc w:val="center"/>
            </w:pPr>
            <w:r>
              <w:rPr>
                <w:sz w:val="20"/>
              </w:rPr>
              <w:t xml:space="preserve">53,17</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3.3</w:t>
            </w:r>
          </w:p>
        </w:tc>
        <w:tc>
          <w:tcPr>
            <w:tcW w:w="3798" w:type="dxa"/>
            <w:tcBorders>
              <w:top w:val="nil"/>
              <w:left w:val="nil"/>
              <w:bottom w:val="nil"/>
              <w:right w:val="nil"/>
            </w:tcBorders>
            <w:vMerge w:val="restart"/>
          </w:tcPr>
          <w:p>
            <w:pPr>
              <w:pStyle w:val="0"/>
            </w:pPr>
            <w:r>
              <w:rPr>
                <w:sz w:val="20"/>
              </w:rPr>
              <w:t xml:space="preserve">Изменение удельных выбросов парниковых газов в бытовом секторе к 2019 году</w:t>
            </w:r>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85,3</w:t>
            </w:r>
          </w:p>
        </w:tc>
        <w:tc>
          <w:tcPr>
            <w:tcW w:w="907" w:type="dxa"/>
            <w:tcBorders>
              <w:top w:val="nil"/>
              <w:left w:val="nil"/>
              <w:bottom w:val="nil"/>
              <w:right w:val="nil"/>
            </w:tcBorders>
          </w:tcPr>
          <w:p>
            <w:pPr>
              <w:pStyle w:val="0"/>
              <w:jc w:val="center"/>
            </w:pPr>
            <w:r>
              <w:rPr>
                <w:sz w:val="20"/>
              </w:rPr>
              <w:t xml:space="preserve">86</w:t>
            </w:r>
          </w:p>
        </w:tc>
        <w:tc>
          <w:tcPr>
            <w:tcW w:w="907" w:type="dxa"/>
            <w:tcBorders>
              <w:top w:val="nil"/>
              <w:left w:val="nil"/>
              <w:bottom w:val="nil"/>
              <w:right w:val="nil"/>
            </w:tcBorders>
          </w:tcPr>
          <w:p>
            <w:pPr>
              <w:pStyle w:val="0"/>
              <w:jc w:val="center"/>
            </w:pPr>
            <w:r>
              <w:rPr>
                <w:sz w:val="20"/>
              </w:rPr>
              <w:t xml:space="preserve">86,9</w:t>
            </w:r>
          </w:p>
        </w:tc>
        <w:tc>
          <w:tcPr>
            <w:tcW w:w="1303" w:type="dxa"/>
            <w:tcBorders>
              <w:top w:val="nil"/>
              <w:left w:val="nil"/>
              <w:bottom w:val="nil"/>
              <w:right w:val="nil"/>
            </w:tcBorders>
            <w:vMerge w:val="restart"/>
          </w:tcPr>
          <w:p>
            <w:pPr>
              <w:pStyle w:val="0"/>
              <w:jc w:val="center"/>
            </w:pPr>
            <w:r>
              <w:rPr>
                <w:sz w:val="20"/>
              </w:rPr>
              <w:t xml:space="preserve">Минстрой России, Минэкономразвития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73,4</w:t>
            </w:r>
          </w:p>
        </w:tc>
        <w:tc>
          <w:tcPr>
            <w:tcW w:w="907" w:type="dxa"/>
            <w:tcBorders>
              <w:top w:val="nil"/>
              <w:left w:val="nil"/>
              <w:bottom w:val="nil"/>
              <w:right w:val="nil"/>
            </w:tcBorders>
          </w:tcPr>
          <w:p>
            <w:pPr>
              <w:pStyle w:val="0"/>
              <w:jc w:val="center"/>
            </w:pPr>
            <w:r>
              <w:rPr>
                <w:sz w:val="20"/>
              </w:rPr>
              <w:t xml:space="preserve">75,5</w:t>
            </w:r>
          </w:p>
        </w:tc>
        <w:tc>
          <w:tcPr>
            <w:tcW w:w="907" w:type="dxa"/>
            <w:tcBorders>
              <w:top w:val="nil"/>
              <w:left w:val="nil"/>
              <w:bottom w:val="nil"/>
              <w:right w:val="nil"/>
            </w:tcBorders>
          </w:tcPr>
          <w:p>
            <w:pPr>
              <w:pStyle w:val="0"/>
              <w:jc w:val="center"/>
            </w:pPr>
            <w:r>
              <w:rPr>
                <w:sz w:val="20"/>
              </w:rPr>
              <w:t xml:space="preserve">76,8</w:t>
            </w:r>
          </w:p>
        </w:tc>
        <w:tc>
          <w:tcPr>
            <w:tcBorders>
              <w:top w:val="nil"/>
              <w:left w:val="nil"/>
              <w:bottom w:val="nil"/>
              <w:right w:val="nil"/>
            </w:tcBorders>
            <w:vMerge w:val="continue"/>
          </w:tcPr>
          <w:p/>
        </w:tc>
      </w:tr>
      <w:tr>
        <w:tc>
          <w:tcPr>
            <w:gridSpan w:val="9"/>
            <w:tcW w:w="11619" w:type="dxa"/>
            <w:tcBorders>
              <w:top w:val="nil"/>
              <w:left w:val="nil"/>
              <w:bottom w:val="nil"/>
              <w:right w:val="nil"/>
            </w:tcBorders>
          </w:tcPr>
          <w:p>
            <w:pPr>
              <w:pStyle w:val="0"/>
              <w:outlineLvl w:val="2"/>
              <w:jc w:val="center"/>
            </w:pPr>
            <w:r>
              <w:rPr>
                <w:sz w:val="20"/>
              </w:rPr>
              <w:t xml:space="preserve">4. Промышленность строительных материалов</w:t>
            </w:r>
          </w:p>
        </w:tc>
      </w:tr>
      <w:tr>
        <w:tc>
          <w:tcPr>
            <w:tcW w:w="794" w:type="dxa"/>
            <w:tcBorders>
              <w:top w:val="nil"/>
              <w:left w:val="nil"/>
              <w:bottom w:val="nil"/>
              <w:right w:val="nil"/>
            </w:tcBorders>
            <w:vMerge w:val="restart"/>
          </w:tcPr>
          <w:p>
            <w:pPr>
              <w:pStyle w:val="0"/>
              <w:jc w:val="center"/>
            </w:pPr>
            <w:r>
              <w:rPr>
                <w:sz w:val="20"/>
              </w:rPr>
              <w:t xml:space="preserve">4.1.</w:t>
            </w:r>
          </w:p>
        </w:tc>
        <w:tc>
          <w:tcPr>
            <w:tcW w:w="3798" w:type="dxa"/>
            <w:tcBorders>
              <w:top w:val="nil"/>
              <w:left w:val="nil"/>
              <w:bottom w:val="nil"/>
              <w:right w:val="nil"/>
            </w:tcBorders>
            <w:vMerge w:val="restart"/>
          </w:tcPr>
          <w:p>
            <w:pPr>
              <w:pStyle w:val="0"/>
            </w:pPr>
            <w:r>
              <w:rPr>
                <w:sz w:val="20"/>
              </w:rPr>
              <w:t xml:space="preserve">Снижение доли фальсифицированных строительных материалов, используемых при строительстве объектов капитального строительства</w:t>
            </w:r>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w:t>
            </w:r>
          </w:p>
        </w:tc>
        <w:tc>
          <w:tcPr>
            <w:tcW w:w="907" w:type="dxa"/>
            <w:tcBorders>
              <w:top w:val="nil"/>
              <w:left w:val="nil"/>
              <w:bottom w:val="nil"/>
              <w:right w:val="nil"/>
            </w:tcBorders>
          </w:tcPr>
          <w:p>
            <w:pPr>
              <w:pStyle w:val="0"/>
              <w:jc w:val="center"/>
            </w:pPr>
            <w:r>
              <w:rPr>
                <w:sz w:val="20"/>
              </w:rPr>
              <w:t xml:space="preserve">10</w:t>
            </w:r>
          </w:p>
        </w:tc>
        <w:tc>
          <w:tcPr>
            <w:tcW w:w="907" w:type="dxa"/>
            <w:tcBorders>
              <w:top w:val="nil"/>
              <w:left w:val="nil"/>
              <w:bottom w:val="nil"/>
              <w:right w:val="nil"/>
            </w:tcBorders>
          </w:tcPr>
          <w:p>
            <w:pPr>
              <w:pStyle w:val="0"/>
              <w:jc w:val="center"/>
            </w:pPr>
            <w:r>
              <w:rPr>
                <w:sz w:val="20"/>
              </w:rPr>
              <w:t xml:space="preserve">30</w:t>
            </w:r>
          </w:p>
        </w:tc>
        <w:tc>
          <w:tcPr>
            <w:tcW w:w="907" w:type="dxa"/>
            <w:tcBorders>
              <w:top w:val="nil"/>
              <w:left w:val="nil"/>
              <w:bottom w:val="nil"/>
              <w:right w:val="nil"/>
            </w:tcBorders>
          </w:tcPr>
          <w:p>
            <w:pPr>
              <w:pStyle w:val="0"/>
              <w:jc w:val="center"/>
            </w:pPr>
            <w:r>
              <w:rPr>
                <w:sz w:val="20"/>
              </w:rPr>
              <w:t xml:space="preserve">60</w:t>
            </w:r>
          </w:p>
        </w:tc>
        <w:tc>
          <w:tcPr>
            <w:tcW w:w="1303" w:type="dxa"/>
            <w:tcBorders>
              <w:top w:val="nil"/>
              <w:left w:val="nil"/>
              <w:bottom w:val="nil"/>
              <w:right w:val="nil"/>
            </w:tcBorders>
            <w:vMerge w:val="restart"/>
          </w:tcPr>
          <w:p>
            <w:pPr>
              <w:pStyle w:val="0"/>
              <w:jc w:val="center"/>
            </w:pPr>
            <w:r>
              <w:rPr>
                <w:sz w:val="20"/>
              </w:rPr>
              <w:t xml:space="preserve">Минстрой России, Минпромторг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w:t>
            </w:r>
          </w:p>
        </w:tc>
        <w:tc>
          <w:tcPr>
            <w:tcW w:w="907" w:type="dxa"/>
            <w:tcBorders>
              <w:top w:val="nil"/>
              <w:left w:val="nil"/>
              <w:bottom w:val="nil"/>
              <w:right w:val="nil"/>
            </w:tcBorders>
          </w:tcPr>
          <w:p>
            <w:pPr>
              <w:pStyle w:val="0"/>
              <w:jc w:val="center"/>
            </w:pPr>
            <w:r>
              <w:rPr>
                <w:sz w:val="20"/>
              </w:rPr>
              <w:t xml:space="preserve">15</w:t>
            </w:r>
          </w:p>
        </w:tc>
        <w:tc>
          <w:tcPr>
            <w:tcW w:w="907" w:type="dxa"/>
            <w:tcBorders>
              <w:top w:val="nil"/>
              <w:left w:val="nil"/>
              <w:bottom w:val="nil"/>
              <w:right w:val="nil"/>
            </w:tcBorders>
          </w:tcPr>
          <w:p>
            <w:pPr>
              <w:pStyle w:val="0"/>
              <w:jc w:val="center"/>
            </w:pPr>
            <w:r>
              <w:rPr>
                <w:sz w:val="20"/>
              </w:rPr>
              <w:t xml:space="preserve">50</w:t>
            </w:r>
          </w:p>
        </w:tc>
        <w:tc>
          <w:tcPr>
            <w:tcW w:w="907" w:type="dxa"/>
            <w:tcBorders>
              <w:top w:val="nil"/>
              <w:left w:val="nil"/>
              <w:bottom w:val="nil"/>
              <w:right w:val="nil"/>
            </w:tcBorders>
          </w:tcPr>
          <w:p>
            <w:pPr>
              <w:pStyle w:val="0"/>
              <w:jc w:val="center"/>
            </w:pPr>
            <w:r>
              <w:rPr>
                <w:sz w:val="20"/>
              </w:rPr>
              <w:t xml:space="preserve">80</w:t>
            </w:r>
          </w:p>
        </w:tc>
        <w:tc>
          <w:tcPr>
            <w:tcBorders>
              <w:top w:val="nil"/>
              <w:left w:val="nil"/>
              <w:bottom w:val="nil"/>
              <w:right w:val="nil"/>
            </w:tcBorders>
            <w:vMerge w:val="continue"/>
          </w:tcPr>
          <w:p/>
        </w:tc>
      </w:tr>
      <w:tr>
        <w:tc>
          <w:tcPr>
            <w:tcW w:w="794" w:type="dxa"/>
            <w:tcBorders>
              <w:top w:val="nil"/>
              <w:left w:val="nil"/>
              <w:bottom w:val="nil"/>
              <w:right w:val="nil"/>
            </w:tcBorders>
            <w:vMerge w:val="restart"/>
          </w:tcPr>
          <w:p>
            <w:pPr>
              <w:pStyle w:val="0"/>
              <w:jc w:val="center"/>
            </w:pPr>
            <w:r>
              <w:rPr>
                <w:sz w:val="20"/>
              </w:rPr>
              <w:t xml:space="preserve">4.2.</w:t>
            </w:r>
          </w:p>
        </w:tc>
        <w:tc>
          <w:tcPr>
            <w:tcW w:w="3798" w:type="dxa"/>
            <w:tcBorders>
              <w:top w:val="nil"/>
              <w:left w:val="nil"/>
              <w:bottom w:val="nil"/>
              <w:right w:val="nil"/>
            </w:tcBorders>
            <w:vMerge w:val="restart"/>
          </w:tcPr>
          <w:p>
            <w:pPr>
              <w:pStyle w:val="0"/>
            </w:pPr>
            <w:r>
              <w:rPr>
                <w:sz w:val="20"/>
              </w:rPr>
              <w:t xml:space="preserve">Снижение доли импортируемых строительных материалов, используемых при строительстве объектов капитального строительства</w:t>
            </w:r>
          </w:p>
        </w:tc>
        <w:tc>
          <w:tcPr>
            <w:tcW w:w="1303" w:type="dxa"/>
            <w:tcBorders>
              <w:top w:val="nil"/>
              <w:left w:val="nil"/>
              <w:bottom w:val="nil"/>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w:t>
            </w:r>
          </w:p>
        </w:tc>
        <w:tc>
          <w:tcPr>
            <w:tcW w:w="907" w:type="dxa"/>
            <w:tcBorders>
              <w:top w:val="nil"/>
              <w:left w:val="nil"/>
              <w:bottom w:val="nil"/>
              <w:right w:val="nil"/>
            </w:tcBorders>
          </w:tcPr>
          <w:p>
            <w:pPr>
              <w:pStyle w:val="0"/>
              <w:jc w:val="center"/>
            </w:pPr>
            <w:r>
              <w:rPr>
                <w:sz w:val="20"/>
              </w:rPr>
              <w:t xml:space="preserve">10</w:t>
            </w:r>
          </w:p>
        </w:tc>
        <w:tc>
          <w:tcPr>
            <w:tcW w:w="907" w:type="dxa"/>
            <w:tcBorders>
              <w:top w:val="nil"/>
              <w:left w:val="nil"/>
              <w:bottom w:val="nil"/>
              <w:right w:val="nil"/>
            </w:tcBorders>
          </w:tcPr>
          <w:p>
            <w:pPr>
              <w:pStyle w:val="0"/>
              <w:jc w:val="center"/>
            </w:pPr>
            <w:r>
              <w:rPr>
                <w:sz w:val="20"/>
              </w:rPr>
              <w:t xml:space="preserve">20</w:t>
            </w:r>
          </w:p>
        </w:tc>
        <w:tc>
          <w:tcPr>
            <w:tcW w:w="907" w:type="dxa"/>
            <w:tcBorders>
              <w:top w:val="nil"/>
              <w:left w:val="nil"/>
              <w:bottom w:val="nil"/>
              <w:right w:val="nil"/>
            </w:tcBorders>
          </w:tcPr>
          <w:p>
            <w:pPr>
              <w:pStyle w:val="0"/>
              <w:jc w:val="center"/>
            </w:pPr>
            <w:r>
              <w:rPr>
                <w:sz w:val="20"/>
              </w:rPr>
              <w:t xml:space="preserve">30</w:t>
            </w:r>
          </w:p>
        </w:tc>
        <w:tc>
          <w:tcPr>
            <w:tcW w:w="1303" w:type="dxa"/>
            <w:tcBorders>
              <w:top w:val="nil"/>
              <w:left w:val="nil"/>
              <w:bottom w:val="nil"/>
              <w:right w:val="nil"/>
            </w:tcBorders>
            <w:vMerge w:val="restart"/>
          </w:tcPr>
          <w:p>
            <w:pPr>
              <w:pStyle w:val="0"/>
              <w:jc w:val="center"/>
            </w:pPr>
            <w:r>
              <w:rPr>
                <w:sz w:val="20"/>
              </w:rPr>
              <w:t xml:space="preserve">Минстрой России, Минпромторг России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793" w:type="dxa"/>
            <w:tcBorders>
              <w:top w:val="nil"/>
              <w:left w:val="nil"/>
              <w:bottom w:val="nil"/>
              <w:right w:val="nil"/>
            </w:tcBorders>
          </w:tcPr>
          <w:p>
            <w:pPr>
              <w:pStyle w:val="0"/>
              <w:jc w:val="center"/>
            </w:pPr>
            <w:r>
              <w:rPr>
                <w:sz w:val="20"/>
              </w:rPr>
              <w:t xml:space="preserve">Б</w:t>
            </w:r>
          </w:p>
        </w:tc>
        <w:tc>
          <w:tcPr>
            <w:tcW w:w="907" w:type="dxa"/>
            <w:tcBorders>
              <w:top w:val="nil"/>
              <w:left w:val="nil"/>
              <w:bottom w:val="nil"/>
              <w:right w:val="nil"/>
            </w:tcBorders>
          </w:tcPr>
          <w:p>
            <w:pPr>
              <w:pStyle w:val="0"/>
              <w:jc w:val="center"/>
            </w:pPr>
            <w:r>
              <w:rPr>
                <w:sz w:val="20"/>
              </w:rPr>
              <w:t xml:space="preserve">-</w:t>
            </w:r>
          </w:p>
        </w:tc>
        <w:tc>
          <w:tcPr>
            <w:tcW w:w="907" w:type="dxa"/>
            <w:tcBorders>
              <w:top w:val="nil"/>
              <w:left w:val="nil"/>
              <w:bottom w:val="nil"/>
              <w:right w:val="nil"/>
            </w:tcBorders>
          </w:tcPr>
          <w:p>
            <w:pPr>
              <w:pStyle w:val="0"/>
              <w:jc w:val="center"/>
            </w:pPr>
            <w:r>
              <w:rPr>
                <w:sz w:val="20"/>
              </w:rPr>
              <w:t xml:space="preserve">15</w:t>
            </w:r>
          </w:p>
        </w:tc>
        <w:tc>
          <w:tcPr>
            <w:tcW w:w="907" w:type="dxa"/>
            <w:tcBorders>
              <w:top w:val="nil"/>
              <w:left w:val="nil"/>
              <w:bottom w:val="nil"/>
              <w:right w:val="nil"/>
            </w:tcBorders>
          </w:tcPr>
          <w:p>
            <w:pPr>
              <w:pStyle w:val="0"/>
              <w:jc w:val="center"/>
            </w:pPr>
            <w:r>
              <w:rPr>
                <w:sz w:val="20"/>
              </w:rPr>
              <w:t xml:space="preserve">25</w:t>
            </w:r>
          </w:p>
        </w:tc>
        <w:tc>
          <w:tcPr>
            <w:tcW w:w="907" w:type="dxa"/>
            <w:tcBorders>
              <w:top w:val="nil"/>
              <w:left w:val="nil"/>
              <w:bottom w:val="nil"/>
              <w:right w:val="nil"/>
            </w:tcBorders>
          </w:tcPr>
          <w:p>
            <w:pPr>
              <w:pStyle w:val="0"/>
              <w:jc w:val="center"/>
            </w:pPr>
            <w:r>
              <w:rPr>
                <w:sz w:val="20"/>
              </w:rPr>
              <w:t xml:space="preserve">50</w:t>
            </w:r>
          </w:p>
        </w:tc>
        <w:tc>
          <w:tcPr>
            <w:tcBorders>
              <w:top w:val="nil"/>
              <w:left w:val="nil"/>
              <w:bottom w:val="nil"/>
              <w:right w:val="nil"/>
            </w:tcBorders>
            <w:vMerge w:val="continue"/>
          </w:tcPr>
          <w:p/>
        </w:tc>
      </w:tr>
      <w:tr>
        <w:tc>
          <w:tcPr>
            <w:tcW w:w="794" w:type="dxa"/>
            <w:tcBorders>
              <w:top w:val="nil"/>
              <w:left w:val="nil"/>
              <w:bottom w:val="single" w:sz="4"/>
              <w:right w:val="nil"/>
            </w:tcBorders>
            <w:vMerge w:val="restart"/>
          </w:tcPr>
          <w:p>
            <w:pPr>
              <w:pStyle w:val="0"/>
              <w:jc w:val="center"/>
            </w:pPr>
            <w:r>
              <w:rPr>
                <w:sz w:val="20"/>
              </w:rPr>
              <w:t xml:space="preserve">4.3.</w:t>
            </w:r>
          </w:p>
        </w:tc>
        <w:tc>
          <w:tcPr>
            <w:tcW w:w="3798" w:type="dxa"/>
            <w:tcBorders>
              <w:top w:val="nil"/>
              <w:left w:val="nil"/>
              <w:bottom w:val="single" w:sz="4"/>
              <w:right w:val="nil"/>
            </w:tcBorders>
            <w:vMerge w:val="restart"/>
          </w:tcPr>
          <w:p>
            <w:pPr>
              <w:pStyle w:val="0"/>
            </w:pPr>
            <w:r>
              <w:rPr>
                <w:sz w:val="20"/>
              </w:rPr>
              <w:t xml:space="preserve">Увеличение доли индустриального домостроения (в т.ч. панельного, сборно-монолитного каркаса, блочно-модульного, деревянного) в общем объеме строительства объектов капитального строительства</w:t>
            </w:r>
          </w:p>
        </w:tc>
        <w:tc>
          <w:tcPr>
            <w:tcW w:w="1303" w:type="dxa"/>
            <w:tcBorders>
              <w:top w:val="nil"/>
              <w:left w:val="nil"/>
              <w:bottom w:val="single" w:sz="4"/>
              <w:right w:val="nil"/>
            </w:tcBorders>
            <w:vMerge w:val="restart"/>
          </w:tcPr>
          <w:p>
            <w:pPr>
              <w:pStyle w:val="0"/>
              <w:jc w:val="center"/>
            </w:pPr>
            <w:r>
              <w:rPr>
                <w:sz w:val="20"/>
              </w:rPr>
              <w:t xml:space="preserve">процентов</w:t>
            </w:r>
          </w:p>
        </w:tc>
        <w:tc>
          <w:tcPr>
            <w:tcW w:w="793" w:type="dxa"/>
            <w:tcBorders>
              <w:top w:val="nil"/>
              <w:left w:val="nil"/>
              <w:bottom w:val="nil"/>
              <w:right w:val="nil"/>
            </w:tcBorders>
          </w:tcPr>
          <w:p>
            <w:pPr>
              <w:pStyle w:val="0"/>
              <w:jc w:val="center"/>
            </w:pPr>
            <w:r>
              <w:rPr>
                <w:sz w:val="20"/>
              </w:rPr>
              <w:t xml:space="preserve">Р</w:t>
            </w:r>
          </w:p>
        </w:tc>
        <w:tc>
          <w:tcPr>
            <w:tcW w:w="907" w:type="dxa"/>
            <w:tcBorders>
              <w:top w:val="nil"/>
              <w:left w:val="nil"/>
              <w:bottom w:val="nil"/>
              <w:right w:val="nil"/>
            </w:tcBorders>
          </w:tcPr>
          <w:p>
            <w:pPr>
              <w:pStyle w:val="0"/>
              <w:jc w:val="center"/>
            </w:pPr>
            <w:r>
              <w:rPr>
                <w:sz w:val="20"/>
              </w:rPr>
              <w:t xml:space="preserve">-</w:t>
            </w:r>
          </w:p>
        </w:tc>
        <w:tc>
          <w:tcPr>
            <w:tcW w:w="907" w:type="dxa"/>
            <w:tcBorders>
              <w:top w:val="nil"/>
              <w:left w:val="nil"/>
              <w:bottom w:val="nil"/>
              <w:right w:val="nil"/>
            </w:tcBorders>
          </w:tcPr>
          <w:p>
            <w:pPr>
              <w:pStyle w:val="0"/>
              <w:jc w:val="center"/>
            </w:pPr>
            <w:r>
              <w:rPr>
                <w:sz w:val="20"/>
              </w:rPr>
              <w:t xml:space="preserve">30</w:t>
            </w:r>
          </w:p>
        </w:tc>
        <w:tc>
          <w:tcPr>
            <w:tcW w:w="907" w:type="dxa"/>
            <w:tcBorders>
              <w:top w:val="nil"/>
              <w:left w:val="nil"/>
              <w:bottom w:val="nil"/>
              <w:right w:val="nil"/>
            </w:tcBorders>
          </w:tcPr>
          <w:p>
            <w:pPr>
              <w:pStyle w:val="0"/>
              <w:jc w:val="center"/>
            </w:pPr>
            <w:r>
              <w:rPr>
                <w:sz w:val="20"/>
              </w:rPr>
              <w:t xml:space="preserve">40</w:t>
            </w:r>
          </w:p>
        </w:tc>
        <w:tc>
          <w:tcPr>
            <w:tcW w:w="907" w:type="dxa"/>
            <w:tcBorders>
              <w:top w:val="nil"/>
              <w:left w:val="nil"/>
              <w:bottom w:val="nil"/>
              <w:right w:val="nil"/>
            </w:tcBorders>
          </w:tcPr>
          <w:p>
            <w:pPr>
              <w:pStyle w:val="0"/>
              <w:jc w:val="center"/>
            </w:pPr>
            <w:r>
              <w:rPr>
                <w:sz w:val="20"/>
              </w:rPr>
              <w:t xml:space="preserve">60</w:t>
            </w:r>
          </w:p>
        </w:tc>
        <w:tc>
          <w:tcPr>
            <w:tcW w:w="1303" w:type="dxa"/>
            <w:tcBorders>
              <w:top w:val="nil"/>
              <w:left w:val="nil"/>
              <w:bottom w:val="single" w:sz="4"/>
              <w:right w:val="nil"/>
            </w:tcBorders>
            <w:vMerge w:val="restart"/>
          </w:tcPr>
          <w:p>
            <w:pPr>
              <w:pStyle w:val="0"/>
              <w:jc w:val="center"/>
            </w:pPr>
            <w:r>
              <w:rPr>
                <w:sz w:val="20"/>
              </w:rPr>
              <w:t xml:space="preserve">Минстрой России, Минпромторг России</w:t>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793" w:type="dxa"/>
            <w:tcBorders>
              <w:top w:val="nil"/>
              <w:left w:val="nil"/>
              <w:bottom w:val="single" w:sz="4"/>
              <w:right w:val="nil"/>
            </w:tcBorders>
          </w:tcPr>
          <w:p>
            <w:pPr>
              <w:pStyle w:val="0"/>
              <w:jc w:val="center"/>
            </w:pPr>
            <w:r>
              <w:rPr>
                <w:sz w:val="20"/>
              </w:rPr>
              <w:t xml:space="preserve">Б</w:t>
            </w:r>
          </w:p>
        </w:tc>
        <w:tc>
          <w:tcPr>
            <w:tcW w:w="907" w:type="dxa"/>
            <w:tcBorders>
              <w:top w:val="nil"/>
              <w:left w:val="nil"/>
              <w:bottom w:val="single" w:sz="4"/>
              <w:right w:val="nil"/>
            </w:tcBorders>
          </w:tcPr>
          <w:p>
            <w:pPr>
              <w:pStyle w:val="0"/>
              <w:jc w:val="center"/>
            </w:pPr>
            <w:r>
              <w:rPr>
                <w:sz w:val="20"/>
              </w:rPr>
              <w:t xml:space="preserve">-</w:t>
            </w:r>
          </w:p>
        </w:tc>
        <w:tc>
          <w:tcPr>
            <w:tcW w:w="907" w:type="dxa"/>
            <w:tcBorders>
              <w:top w:val="nil"/>
              <w:left w:val="nil"/>
              <w:bottom w:val="single" w:sz="4"/>
              <w:right w:val="nil"/>
            </w:tcBorders>
          </w:tcPr>
          <w:p>
            <w:pPr>
              <w:pStyle w:val="0"/>
              <w:jc w:val="center"/>
            </w:pPr>
            <w:r>
              <w:rPr>
                <w:sz w:val="20"/>
              </w:rPr>
              <w:t xml:space="preserve">35</w:t>
            </w:r>
          </w:p>
        </w:tc>
        <w:tc>
          <w:tcPr>
            <w:tcW w:w="907" w:type="dxa"/>
            <w:tcBorders>
              <w:top w:val="nil"/>
              <w:left w:val="nil"/>
              <w:bottom w:val="single" w:sz="4"/>
              <w:right w:val="nil"/>
            </w:tcBorders>
          </w:tcPr>
          <w:p>
            <w:pPr>
              <w:pStyle w:val="0"/>
              <w:jc w:val="center"/>
            </w:pPr>
            <w:r>
              <w:rPr>
                <w:sz w:val="20"/>
              </w:rPr>
              <w:t xml:space="preserve">60</w:t>
            </w:r>
          </w:p>
        </w:tc>
        <w:tc>
          <w:tcPr>
            <w:tcW w:w="907" w:type="dxa"/>
            <w:tcBorders>
              <w:top w:val="nil"/>
              <w:left w:val="nil"/>
              <w:bottom w:val="single" w:sz="4"/>
              <w:right w:val="nil"/>
            </w:tcBorders>
          </w:tcPr>
          <w:p>
            <w:pPr>
              <w:pStyle w:val="0"/>
              <w:jc w:val="center"/>
            </w:pPr>
            <w:r>
              <w:rPr>
                <w:sz w:val="20"/>
              </w:rPr>
              <w:t xml:space="preserve">75</w:t>
            </w:r>
          </w:p>
        </w:tc>
        <w:tc>
          <w:tcPr>
            <w:tcBorders>
              <w:top w:val="nil"/>
              <w:left w:val="nil"/>
              <w:bottom w:val="single" w:sz="4"/>
              <w:right w:val="nil"/>
            </w:tcBorders>
            <w:vMerge w:val="continue"/>
          </w:tcPr>
          <w:p/>
        </w:tc>
      </w:tr>
    </w:tbl>
    <w:p>
      <w:pPr>
        <w:sectPr>
          <w:headerReference w:type="default" r:id="rId5"/>
          <w:headerReference w:type="first" r:id="rId5"/>
          <w:footerReference w:type="default" r:id="rId6"/>
          <w:footerReference w:type="first" r:id="rId6"/>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2111" w:name="P2111"/>
    <w:bookmarkEnd w:id="2111"/>
    <w:p>
      <w:pPr>
        <w:pStyle w:val="0"/>
        <w:spacing w:before="200" w:lineRule="auto"/>
        <w:ind w:firstLine="540"/>
        <w:jc w:val="both"/>
      </w:pPr>
      <w:r>
        <w:rPr>
          <w:sz w:val="20"/>
        </w:rPr>
        <w:t xml:space="preserve">&lt;*&gt; В случае внесения изменений в прогнозы социально-экономического развития Российской Федерации, разрабатываемые Министерством экономического развития Российской Федерации, целевые показатели Стратегии подлежат актуализации в целях снижения риска существенного отклонения их фактических значений от прогнозных.</w:t>
      </w:r>
    </w:p>
    <w:bookmarkStart w:id="2112" w:name="P2112"/>
    <w:bookmarkEnd w:id="2112"/>
    <w:p>
      <w:pPr>
        <w:pStyle w:val="0"/>
        <w:spacing w:before="200" w:lineRule="auto"/>
        <w:ind w:firstLine="540"/>
        <w:jc w:val="both"/>
      </w:pPr>
      <w:r>
        <w:rPr>
          <w:sz w:val="20"/>
        </w:rPr>
        <w:t xml:space="preserve">&lt;**&gt; Значения показателя указаны при принятии решения о выделении необходимого финансирования на соответствующие мероприятия с 2025 года.</w:t>
      </w:r>
    </w:p>
    <w:bookmarkStart w:id="2113" w:name="P2113"/>
    <w:bookmarkEnd w:id="2113"/>
    <w:p>
      <w:pPr>
        <w:pStyle w:val="0"/>
        <w:spacing w:before="200" w:lineRule="auto"/>
        <w:ind w:firstLine="540"/>
        <w:jc w:val="both"/>
      </w:pPr>
      <w:r>
        <w:rPr>
          <w:sz w:val="20"/>
        </w:rPr>
        <w:t xml:space="preserve">&lt;***&gt; Показатели в базовом сценарии учитывают реализацию программы модернизации коммунальной инфраструктуры с учетом софинансирования из средств бюджетов субъектов Российской Федерации и внебюджетных источников.</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p>
      <w:pPr>
        <w:pStyle w:val="0"/>
      </w:pPr>
      <w:r>
        <w:rPr>
          <w:sz w:val="16"/>
        </w:rPr>
      </w:r>
    </w:p>
    <w:sectPr>
      <w:headerReference w:type="default" r:id="rId3"/>
      <w:headerReference w:type="first" r:id="rId3"/>
      <w:footerReference w:type="default" r:id="rId4"/>
      <w:footerReference w:type="first" r:id="rId4"/>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Распоряжение Правительства РФ от 31.10.2022 N 3268-р</w:t>
            <w:br/>
            <w:t>(ред. от 23.10.2025)</w:t>
            <w:br/>
            <w:t>&lt;Об утверждении Стратегии развития строительно...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03.07.2026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Распоряжение Правительства РФ от 31.10.2022 N 3268-р</w:t>
            <w:br/>
            <w:t>(ред. от 23.10.2025)</w:t>
            <w:br/>
            <w:t>&lt;Об утверждении Стратегии развития строительно...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03.07.2026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image" Target="media/image1.wmf"/></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Правительства РФ от 31.10.2022 N 3268-р
(ред. от 23.10.2025)
&lt;Об утверждении Стратегии развития строительной отрасли и жилищно-коммунального хозяйства Российской Федерации на период до 2030 года с прогнозом до 2035 года&gt;</dc:title>
  <dcterms:created xsi:type="dcterms:W3CDTF">2026-07-03T11:57:33Z</dcterms:created>
</cp:coreProperties>
</file>