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Приказ Минстроя России от 30.12.2015 N 965/пр</w:t>
      </w:r>
    </w:p>
    <w:p>
      <w:pPr>
        <w:pStyle w:val="0"/>
        <w:jc w:val="both"/>
      </w:pPr>
      <w:r>
        <w:rPr>
          <w:sz w:val="20"/>
        </w:rPr>
        <w:t xml:space="preserve">(ред. от 08.02.2017)</w:t>
      </w:r>
    </w:p>
    <w:p>
      <w:pPr>
        <w:pStyle w:val="0"/>
        <w:jc w:val="both"/>
      </w:pPr>
      <w:r>
        <w:rPr>
          <w:sz w:val="20"/>
        </w:rPr>
        <w:t xml:space="preserve">"Об утверждении формы отчета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и сроков его размещения"</w:t>
      </w:r>
    </w:p>
    <w:p>
      <w:pPr>
        <w:pStyle w:val="0"/>
        <w:jc w:val="both"/>
      </w:pPr>
      <w:r>
        <w:rPr>
          <w:sz w:val="20"/>
        </w:rPr>
        <w:t xml:space="preserve">(Зарегистрировано в Минюсте России 03.03.2016 N 41315)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09.03.2016.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- 25.03.2017.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Приказом</w:t>
      </w:r>
      <w:r>
        <w:rPr>
          <w:sz w:val="20"/>
        </w:rPr>
        <w:t xml:space="preserve"> Минстроя России от 08.02.2017 N 71/пр, </w:t>
      </w:r>
      <w:r>
        <w:rPr>
          <w:sz w:val="20"/>
        </w:rPr>
        <w:t xml:space="preserve">вступают</w:t>
      </w:r>
      <w:r>
        <w:rPr>
          <w:sz w:val="20"/>
        </w:rPr>
        <w:t xml:space="preserve"> в силу по истечении 10 дней после дня официального опубликования (опубликован на Официальном интернет-портале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 - 14.03.2017).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3 марта 2016 г. N 41315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30 декабря 2015 г. N 965/пр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ФОРМЫ ОТЧЕТА</w:t>
      </w:r>
    </w:p>
    <w:p>
      <w:pPr>
        <w:pStyle w:val="2"/>
        <w:jc w:val="center"/>
      </w:pPr>
      <w:r>
        <w:rPr>
          <w:sz w:val="20"/>
        </w:rPr>
        <w:t xml:space="preserve">СПЕЦИАЛИЗИРОВАННОЙ НЕКОММЕРЧЕСКОЙ ОРГАНИЗАЦИИ,</w:t>
      </w:r>
    </w:p>
    <w:p>
      <w:pPr>
        <w:pStyle w:val="2"/>
        <w:jc w:val="center"/>
      </w:pPr>
      <w:r>
        <w:rPr>
          <w:sz w:val="20"/>
        </w:rPr>
        <w:t xml:space="preserve">ОСУЩЕСТВЛЯЮЩЕЙ ДЕЯТЕЛЬНОСТЬ, НАПРАВЛЕННУЮ НА ОБЕСПЕЧЕНИЕ</w:t>
      </w:r>
    </w:p>
    <w:p>
      <w:pPr>
        <w:pStyle w:val="2"/>
        <w:jc w:val="center"/>
      </w:pPr>
      <w:r>
        <w:rPr>
          <w:sz w:val="20"/>
        </w:rPr>
        <w:t xml:space="preserve">ПРОВЕДЕНИЯ КАПИТАЛЬНОГО РЕМОНТА ОБЩЕГО ИМУЩЕСТВА</w:t>
      </w:r>
    </w:p>
    <w:p>
      <w:pPr>
        <w:pStyle w:val="2"/>
        <w:jc w:val="center"/>
      </w:pPr>
      <w:r>
        <w:rPr>
          <w:sz w:val="20"/>
        </w:rPr>
        <w:t xml:space="preserve">В МНОГОКВАРТИРНЫХ ДОМАХ И СРОКОВ ЕГО РАЗМЕЩЕНИЯ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08.02.2017 N 71/пр)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3.1 статьи 183</w:t>
      </w:r>
      <w:r>
        <w:rPr>
          <w:sz w:val="20"/>
        </w:rPr>
        <w:t xml:space="preserve"> Жилищного кодекса Российской Федерации (Собрание законодательства Российской Федерации, 2005, N 1, ст. 14; 2013, N 52, ст. 6982; 2015, N 27, ст. 3967; N 48, ст. 6724)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r>
        <w:rPr>
          <w:sz w:val="20"/>
        </w:rPr>
        <w:t xml:space="preserve">форму</w:t>
      </w:r>
      <w:r>
        <w:rPr>
          <w:sz w:val="20"/>
        </w:rPr>
        <w:t xml:space="preserve"> отчета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(далее - региональный оператор), согласно приложению к настоящему приказу.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Установить, что отчет регионального оператора формируется ежеквартально по состоянию на последнее число последнего месяца отчетного квартала и размещается региональным оператором на своем официальном сайте в информационно-телекоммуникационной сети "Интернет" не позднее 20 (двадцатого) числа месяца, следующего за отчетным кварталом.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Контроль за исполнением настоящего приказа возложить на заместителя Министра строительства и жилищно-коммунального хозяйства Российской Федерации А.В. Чибиса.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Л.О.СТАВИЦКИЙ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приказом Министерства строительства</w:t>
      </w:r>
    </w:p>
    <w:p>
      <w:pPr>
        <w:pStyle w:val="0"/>
        <w:jc w:val="right"/>
      </w:pPr>
      <w:r>
        <w:rPr>
          <w:sz w:val="20"/>
        </w:rPr>
        <w:t xml:space="preserve">и 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30 декабря 2015 г. N 965/пр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r>
              <w:rPr>
                <w:sz w:val="20"/>
                <w:color w:val="392c69"/>
              </w:rPr>
              <w:t xml:space="preserve">Приказа</w:t>
            </w:r>
            <w:r>
              <w:rPr>
                <w:sz w:val="20"/>
                <w:color w:val="392c69"/>
              </w:rPr>
              <w:t xml:space="preserve"> Минстроя России от 08.02.2017 N 71/пр)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52" w:name="P52"/>
    <w:bookmarkEnd w:id="52"/>
    <w:p>
      <w:pPr>
        <w:pStyle w:val="1"/>
        <w:jc w:val="both"/>
      </w:pPr>
      <w:r>
        <w:rPr>
          <w:sz w:val="20"/>
        </w:rPr>
        <w:t xml:space="preserve">                               ФОРМА ОТЧЕТА</w:t>
      </w:r>
    </w:p>
    <w:p>
      <w:pPr>
        <w:pStyle w:val="1"/>
        <w:jc w:val="both"/>
      </w:pPr>
      <w:r>
        <w:rPr>
          <w:sz w:val="20"/>
        </w:rPr>
        <w:t xml:space="preserve">              СПЕЦИАЛИЗИРОВАННОЙ НЕКОММЕРЧЕСКОЙ ОРГАНИЗАЦИИ,</w:t>
      </w:r>
    </w:p>
    <w:p>
      <w:pPr>
        <w:pStyle w:val="1"/>
        <w:jc w:val="both"/>
      </w:pPr>
      <w:r>
        <w:rPr>
          <w:sz w:val="20"/>
        </w:rPr>
        <w:t xml:space="preserve">         ОСУЩЕСТВЛЯЮЩЕЙ ДЕЯТЕЛЬНОСТЬ, НАПРАВЛЕННУЮ НА ОБЕСПЕЧЕНИЕ</w:t>
      </w:r>
    </w:p>
    <w:p>
      <w:pPr>
        <w:pStyle w:val="1"/>
        <w:jc w:val="both"/>
      </w:pPr>
      <w:r>
        <w:rPr>
          <w:sz w:val="20"/>
        </w:rPr>
        <w:t xml:space="preserve">             ПРОВЕДЕНИЯ КАПИТАЛЬНОГО РЕМОНТА ОБЩЕГО ИМУЩЕСТВА</w:t>
      </w:r>
    </w:p>
    <w:p>
      <w:pPr>
        <w:pStyle w:val="1"/>
        <w:jc w:val="both"/>
      </w:pPr>
      <w:r>
        <w:rPr>
          <w:sz w:val="20"/>
        </w:rPr>
        <w:t xml:space="preserve">                          В МНОГОКВАРТИРНЫХ ДОМАХ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Адрес многоквартирного дома __________________</w:t>
      </w:r>
    </w:p>
    <w:p>
      <w:pPr>
        <w:pStyle w:val="1"/>
        <w:jc w:val="both"/>
      </w:pPr>
      <w:r>
        <w:rPr>
          <w:sz w:val="20"/>
        </w:rPr>
        <w:t xml:space="preserve">    Отчетный период - ___ квартал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I. ФОНД КАПИТАЛЬНОГО РЕМОНТА МНОГОКВАРТИРНОГО ДОМА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тыс. руб.</w:t>
      </w:r>
    </w:p>
    <w:p>
      <w:pPr>
        <w:sectPr>
          <w:headerReference w:type="default" r:id="rId3"/>
          <w:headerReference w:type="first" r:id="rId3"/>
          <w:footerReference w:type="default" r:id="rId4"/>
          <w:footerReference w:type="first" r:id="rId4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4085"/>
        <w:gridCol w:w="1020"/>
        <w:gridCol w:w="624"/>
        <w:gridCol w:w="624"/>
        <w:gridCol w:w="567"/>
        <w:gridCol w:w="2268"/>
        <w:gridCol w:w="907"/>
        <w:gridCol w:w="850"/>
        <w:gridCol w:w="794"/>
      </w:tblGrid>
      <w:tr>
        <w:tc>
          <w:tcPr>
            <w:tcW w:w="51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08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Фонд капитального ремонта многоквартирного дома, сформированный: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средств на начало отчетного периода</w:t>
            </w:r>
          </w:p>
        </w:tc>
        <w:tc>
          <w:tcPr>
            <w:gridSpan w:val="5"/>
            <w:tcW w:w="499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Поступило в отчетном периоде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Использовано в отчетном периоде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средств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gridSpan w:val="4"/>
            <w:tcW w:w="43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т.ч.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взносов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пеней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доходов от передачи в пользование объектов общего имущества в многоквартирном доме, средств товариществ собственников жилья, кооператива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иных не запрещенных законом средств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408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085" w:type="dxa"/>
          </w:tcPr>
          <w:p>
            <w:pPr>
              <w:pStyle w:val="0"/>
            </w:pPr>
            <w:r>
              <w:rPr>
                <w:sz w:val="20"/>
              </w:rPr>
              <w:t xml:space="preserve">за счет минимального взноса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085" w:type="dxa"/>
          </w:tcPr>
          <w:p>
            <w:pPr>
              <w:pStyle w:val="0"/>
            </w:pPr>
            <w:r>
              <w:rPr>
                <w:sz w:val="20"/>
              </w:rPr>
              <w:t xml:space="preserve">сверх минимального размера взноса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085" w:type="dxa"/>
          </w:tcPr>
          <w:p>
            <w:pPr>
              <w:pStyle w:val="0"/>
            </w:pPr>
            <w:r>
              <w:rPr>
                <w:sz w:val="20"/>
              </w:rPr>
              <w:t xml:space="preserve">Итого фонд капитального ремонта многоквартирного дома</w:t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117" w:name="P117"/>
    <w:bookmarkEnd w:id="117"/>
    <w:p>
      <w:pPr>
        <w:pStyle w:val="1"/>
        <w:jc w:val="both"/>
      </w:pPr>
      <w:r>
        <w:rPr>
          <w:sz w:val="20"/>
        </w:rPr>
        <w:t xml:space="preserve">    &lt;*&gt; Источники денежных средств: _____________ размер средств 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источника)</w:t>
      </w:r>
    </w:p>
    <w:p>
      <w:pPr>
        <w:pStyle w:val="1"/>
        <w:jc w:val="both"/>
      </w:pPr>
      <w:r>
        <w:rPr>
          <w:sz w:val="20"/>
        </w:rPr>
        <w:t xml:space="preserve">тыс. руб.</w:t>
      </w:r>
    </w:p>
    <w:p>
      <w:pPr>
        <w:pStyle w:val="1"/>
        <w:jc w:val="both"/>
      </w:pPr>
      <w:r>
        <w:rPr>
          <w:sz w:val="20"/>
        </w:rPr>
        <w:t xml:space="preserve">                                    _____________ размер средств 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(наименование</w:t>
      </w:r>
    </w:p>
    <w:p>
      <w:pPr>
        <w:pStyle w:val="1"/>
        <w:jc w:val="both"/>
      </w:pPr>
      <w:r>
        <w:rPr>
          <w:sz w:val="20"/>
        </w:rPr>
        <w:t xml:space="preserve">                                      источника)</w:t>
      </w:r>
    </w:p>
    <w:p>
      <w:pPr>
        <w:pStyle w:val="1"/>
        <w:jc w:val="both"/>
      </w:pPr>
      <w:r>
        <w:rPr>
          <w:sz w:val="20"/>
        </w:rPr>
        <w:t xml:space="preserve">тыс. руб.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II. РАЗМЕР СРЕДСТВ, НАПРАВЛЕННЫХ НА КАПИТАЛЬНЫЙ РЕМОНТ</w:t>
      </w:r>
    </w:p>
    <w:p>
      <w:pPr>
        <w:pStyle w:val="1"/>
        <w:jc w:val="both"/>
      </w:pPr>
      <w:r>
        <w:rPr>
          <w:sz w:val="20"/>
        </w:rPr>
        <w:t xml:space="preserve">                  ОБЩЕГО ИМУЩЕСТВА В МНОГОКВАРТИРНОМ ДОМЕ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тыс. руб.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87"/>
        <w:gridCol w:w="1267"/>
        <w:gridCol w:w="888"/>
        <w:gridCol w:w="566"/>
        <w:gridCol w:w="1426"/>
        <w:gridCol w:w="1320"/>
        <w:gridCol w:w="988"/>
        <w:gridCol w:w="1389"/>
        <w:gridCol w:w="850"/>
        <w:gridCol w:w="710"/>
        <w:gridCol w:w="706"/>
        <w:gridCol w:w="1142"/>
        <w:gridCol w:w="715"/>
        <w:gridCol w:w="844"/>
        <w:gridCol w:w="1100"/>
      </w:tblGrid>
      <w:tr>
        <w:tc>
          <w:tcPr>
            <w:tcW w:w="48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2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Виды работ и услуг по капитальному ремонту общего имущества в многоквартирном доме</w:t>
            </w:r>
          </w:p>
        </w:tc>
        <w:tc>
          <w:tcPr>
            <w:tcW w:w="88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работ и услуг по капитальному ремонту</w:t>
            </w:r>
          </w:p>
        </w:tc>
        <w:tc>
          <w:tcPr>
            <w:gridSpan w:val="8"/>
            <w:tcW w:w="79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средств, направленных на капитальный ремонт</w:t>
            </w:r>
          </w:p>
        </w:tc>
        <w:tc>
          <w:tcPr>
            <w:tcW w:w="11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предоставленной рассрочки оплаты услуг и работ по капитальному ремонту</w:t>
            </w:r>
          </w:p>
        </w:tc>
        <w:tc>
          <w:tcPr>
            <w:gridSpan w:val="3"/>
            <w:tcW w:w="265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работ и услуг в отчетом периоде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tcW w:w="14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фонда капитального ремонта, сформированного исходя из минимального размера взноса</w:t>
            </w:r>
          </w:p>
        </w:tc>
        <w:tc>
          <w:tcPr>
            <w:tcW w:w="13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фонда капитального ремонта, сверх сформированного исходя из минимального размера взноса</w:t>
            </w:r>
          </w:p>
        </w:tc>
        <w:tc>
          <w:tcPr>
            <w:tcW w:w="9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государственной, муниципальной поддержки</w:t>
            </w:r>
          </w:p>
        </w:tc>
        <w:tc>
          <w:tcPr>
            <w:tcW w:w="13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процентов от размещения временно свободных средств фондов капитального ремонта в кредитных организациях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средства фондов капитального ремонта других домов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Кредит </w:t>
            </w:r>
            <w:r>
              <w:rPr>
                <w:sz w:val="20"/>
              </w:rPr>
              <w:t xml:space="preserve">&lt;*&gt;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Заем </w:t>
            </w:r>
            <w:r>
              <w:rPr>
                <w:sz w:val="20"/>
              </w:rPr>
              <w:t xml:space="preserve">&lt;**&gt;</w:t>
            </w:r>
          </w:p>
        </w:tc>
        <w:tc>
          <w:tcPr>
            <w:vMerge w:val="continue"/>
          </w:tcPr>
          <w:p/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 на начало периода</w:t>
            </w:r>
          </w:p>
        </w:tc>
        <w:tc>
          <w:tcPr>
            <w:tcW w:w="8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произведенных оплат в отчетном периоде</w:t>
            </w:r>
          </w:p>
        </w:tc>
        <w:tc>
          <w:tcPr>
            <w:tcW w:w="11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 по оплате капитального ремонта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tcW w:w="1267" w:type="dxa"/>
          </w:tcPr>
          <w:bookmarkStart w:id="147" w:name="P147"/>
          <w:bookmarkEnd w:id="147"/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8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56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2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3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3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7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1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71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8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10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</w:tr>
      <w:tr>
        <w:tc>
          <w:tcPr>
            <w:tcW w:w="4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2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2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8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267" w:type="dxa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8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56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2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8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8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1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0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223" w:name="P223"/>
    <w:bookmarkEnd w:id="223"/>
    <w:p>
      <w:pPr>
        <w:pStyle w:val="1"/>
        <w:jc w:val="both"/>
      </w:pPr>
      <w:r>
        <w:rPr>
          <w:sz w:val="20"/>
        </w:rPr>
        <w:t xml:space="preserve">    &lt;*&gt; Кредит привлечен под ___% годовых.</w:t>
      </w:r>
    </w:p>
    <w:bookmarkStart w:id="224" w:name="P224"/>
    <w:bookmarkEnd w:id="224"/>
    <w:p>
      <w:pPr>
        <w:pStyle w:val="1"/>
        <w:jc w:val="both"/>
      </w:pPr>
      <w:r>
        <w:rPr>
          <w:sz w:val="20"/>
        </w:rPr>
        <w:t xml:space="preserve">    &lt;**&gt; Заем привлечен под ___% годовых.</w:t>
      </w:r>
    </w:p>
    <w:p>
      <w:pPr>
        <w:pStyle w:val="1"/>
        <w:jc w:val="both"/>
      </w:pPr>
      <w:r>
        <w:rPr>
          <w:sz w:val="20"/>
        </w:rPr>
        <w:t xml:space="preserve">    Пояснение к </w:t>
      </w:r>
      <w:r>
        <w:rPr>
          <w:sz w:val="20"/>
        </w:rPr>
        <w:t xml:space="preserve">столбцам 1</w:t>
      </w:r>
      <w:r>
        <w:rPr>
          <w:sz w:val="20"/>
        </w:rPr>
        <w:t xml:space="preserve"> и </w:t>
      </w:r>
      <w:r>
        <w:rPr>
          <w:sz w:val="20"/>
        </w:rPr>
        <w:t xml:space="preserve">2</w:t>
      </w:r>
      <w:r>
        <w:rPr>
          <w:sz w:val="20"/>
        </w:rPr>
        <w:t xml:space="preserve">: прилагается электронный образ  акта приемки</w:t>
      </w:r>
    </w:p>
    <w:p>
      <w:pPr>
        <w:pStyle w:val="1"/>
        <w:jc w:val="both"/>
      </w:pPr>
      <w:r>
        <w:rPr>
          <w:sz w:val="20"/>
        </w:rPr>
        <w:t xml:space="preserve">оказанных услуг и (или) выполненных работ  по капитальному  ремонту  общего</w:t>
      </w:r>
    </w:p>
    <w:p>
      <w:pPr>
        <w:pStyle w:val="1"/>
        <w:jc w:val="both"/>
      </w:pPr>
      <w:r>
        <w:rPr>
          <w:sz w:val="20"/>
        </w:rPr>
        <w:t xml:space="preserve">имущества в многоквартирном доме.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III. ПРИВЛЕЧЕННЫЕ КРЕДИТЫ, ЗАЙМЫ, СРЕДСТВА ФОНДОВ</w:t>
      </w:r>
    </w:p>
    <w:p>
      <w:pPr>
        <w:pStyle w:val="1"/>
        <w:jc w:val="both"/>
      </w:pPr>
      <w:r>
        <w:rPr>
          <w:sz w:val="20"/>
        </w:rPr>
        <w:t xml:space="preserve">             КАПИТАЛЬНОГО РЕМОНТА ДРУГИХ МНОГОКВАРТИРНЫХ ДОМОВ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 руб.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4"/>
        <w:gridCol w:w="3302"/>
        <w:gridCol w:w="907"/>
        <w:gridCol w:w="1247"/>
        <w:gridCol w:w="624"/>
        <w:gridCol w:w="1814"/>
        <w:gridCol w:w="1984"/>
        <w:gridCol w:w="1020"/>
      </w:tblGrid>
      <w:tr>
        <w:tc>
          <w:tcPr>
            <w:tcW w:w="45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30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Вид задолженности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 задолженность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задолженности на начало отчетного периода</w:t>
            </w:r>
          </w:p>
        </w:tc>
        <w:tc>
          <w:tcPr>
            <w:gridSpan w:val="3"/>
            <w:tcW w:w="44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Погашено за отчетный период</w:t>
            </w:r>
          </w:p>
        </w:tc>
        <w:tc>
          <w:tcPr>
            <w:tcW w:w="102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задолженности на конец отчетного периода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всего</w:t>
            </w:r>
          </w:p>
        </w:tc>
        <w:tc>
          <w:tcPr>
            <w:gridSpan w:val="2"/>
            <w:tcW w:w="37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 т.ч. за счет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фонда капитального ремонта, сформированного исходя из минимального взноса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фонда капитального ремонта сверх сформированного исходя из минимального размера взноса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330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Возврат кредита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Уплата процентов по кредиту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Заем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Уплата процентов по займу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Возврат средств фондов капитального ремонта других многоквартирных домов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45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3302" w:type="dxa"/>
          </w:tcPr>
          <w:p>
            <w:pPr>
              <w:pStyle w:val="0"/>
            </w:pPr>
            <w:r>
              <w:rPr>
                <w:sz w:val="20"/>
              </w:rPr>
              <w:t xml:space="preserve">Итого</w:t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IV. СВЕДЕНИЯ О НАЧИСЛЕННЫХ И УПЛАЧЕННЫХ СОБСТВЕННИКАМИ</w:t>
      </w:r>
    </w:p>
    <w:p>
      <w:pPr>
        <w:pStyle w:val="1"/>
        <w:jc w:val="both"/>
      </w:pPr>
      <w:r>
        <w:rPr>
          <w:sz w:val="20"/>
        </w:rPr>
        <w:t xml:space="preserve">          ПОМЕЩЕНИЙ В МНОГОКВАРТИРНОМ ДОМЕ ВЗНОСАХ НА КАПИТАЛЬНЫЙ</w:t>
      </w:r>
    </w:p>
    <w:p>
      <w:pPr>
        <w:pStyle w:val="1"/>
        <w:jc w:val="both"/>
      </w:pPr>
      <w:r>
        <w:rPr>
          <w:sz w:val="20"/>
        </w:rPr>
        <w:t xml:space="preserve">          РЕМОНТ, ЗАДОЛЖЕННОСТИ ПО ИХ ОПЛАТЕ, ОБ УПЛАЧЕННЫХ ПЕНИ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        руб.</w:t>
      </w:r>
    </w:p>
    <w:p>
      <w:pPr>
        <w:spacing w:before="0"/>
        <w:spacing w:after="1"/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29"/>
        <w:gridCol w:w="1077"/>
        <w:gridCol w:w="1560"/>
        <w:gridCol w:w="794"/>
        <w:gridCol w:w="794"/>
        <w:gridCol w:w="2837"/>
        <w:gridCol w:w="1020"/>
        <w:gridCol w:w="1147"/>
        <w:gridCol w:w="1644"/>
      </w:tblGrid>
      <w:tr>
        <w:tc>
          <w:tcPr>
            <w:tcW w:w="1229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помещения</w:t>
            </w:r>
          </w:p>
        </w:tc>
        <w:tc>
          <w:tcPr>
            <w:gridSpan w:val="2"/>
            <w:tcW w:w="26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расчетах по уплате взноса на начало отчетного периода</w:t>
            </w:r>
          </w:p>
        </w:tc>
        <w:tc>
          <w:tcPr>
            <w:gridSpan w:val="3"/>
            <w:tcW w:w="44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Уплата взноса с начала отчетного года на конец отчетного периода (нарастающим итогом)</w:t>
            </w:r>
          </w:p>
        </w:tc>
        <w:tc>
          <w:tcPr>
            <w:gridSpan w:val="2"/>
            <w:tcW w:w="21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расчетах по уплате взноса на конец отчетного периода</w:t>
            </w:r>
          </w:p>
        </w:tc>
        <w:tc>
          <w:tcPr>
            <w:tcW w:w="164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Уплачено пени с начала отчетного года на конец отчетного периода (нарастающим итогом)</w:t>
            </w:r>
          </w:p>
        </w:tc>
      </w:tr>
      <w:tr>
        <w:tc>
          <w:tcPr>
            <w:vMerge w:val="continue"/>
          </w:tcPr>
          <w:p/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</w:t>
            </w:r>
          </w:p>
        </w:tc>
        <w:tc>
          <w:tcPr>
            <w:tcW w:w="15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аванс (переплата)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начислено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уплачено</w:t>
            </w:r>
          </w:p>
        </w:tc>
        <w:tc>
          <w:tcPr>
            <w:tcW w:w="28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засчитано за оказанные услуги и (или) выполненные работы по капитальному ремонту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задолженность</w:t>
            </w:r>
          </w:p>
        </w:tc>
        <w:tc>
          <w:tcPr>
            <w:tcW w:w="11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аванс (переплата)</w:t>
            </w:r>
          </w:p>
        </w:tc>
        <w:tc>
          <w:tcPr>
            <w:vMerge w:val="continue"/>
          </w:tcPr>
          <w:p/>
        </w:tc>
      </w:tr>
      <w:tr>
        <w:tc>
          <w:tcPr>
            <w:tcW w:w="122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5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8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0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</w:tr>
      <w:tr>
        <w:tc>
          <w:tcPr>
            <w:tcW w:w="12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2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1229" w:type="dxa"/>
          </w:tcPr>
          <w:p>
            <w:pPr>
              <w:pStyle w:val="0"/>
            </w:pPr>
            <w:r>
              <w:rPr>
                <w:sz w:val="20"/>
              </w:rPr>
              <w:t xml:space="preserve">Итого:</w:t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6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2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5"/>
      <w:headerReference w:type="first" r:id="rId5"/>
      <w:footerReference w:type="default" r:id="rId6"/>
      <w:footerReference w:type="first" r:id="rId6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30.12.2015 N 965/пр</w:t>
            <w:br/>
            <w:t>(ред. от 08.02.2017)</w:t>
            <w:br/>
            <w:t>"Об утверждении формы отчета специализированной неком...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30.12.2015 N 965/пр</w:t>
            <w:br/>
            <w:t>(ред. от 08.02.2017)</w:t>
            <w:br/>
            <w:t>"Об утверждении формы отчета специализированной неком...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30.12.2015 N 965/пр
(ред. от 08.02.2017)
"Об утверждении формы отчета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 и сроков его размещения"
(Зарегистрировано в Минюсте России 03.03.2016 N 41315)</dc:title>
  <dcterms:created xsi:type="dcterms:W3CDTF">2026-09-17T13:02:42Z</dcterms:created>
</cp:coreProperties>
</file>