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24.10.2019 N 590-пп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2020 - 2022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25.10.2019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- 25.10.2019.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- 25.10.2019).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октября 2019 г. N 590-пп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</w:t>
      </w:r>
    </w:p>
    <w:p>
      <w:pPr>
        <w:pStyle w:val="2"/>
        <w:jc w:val="center"/>
      </w:pPr>
      <w:r>
        <w:rPr>
          <w:sz w:val="20"/>
        </w:rPr>
        <w:t xml:space="preserve">НА КАПИТАЛЬНЫЙ РЕМОНТ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НА 2020 - 2022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и </w:t>
      </w:r>
      <w:r>
        <w:rPr>
          <w:sz w:val="20"/>
        </w:rPr>
        <w:t xml:space="preserve">статьей 20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2020 год - 8,56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2021 год - 9,25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2022 год - 9,96 рубля.</w:t>
      </w:r>
    </w:p>
    <w:bookmarkStart w:id="26" w:name="P26"/>
    <w:bookmarkEnd w:id="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24.10.2019 N 590-пп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24.10.2019 N 590-пп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2020 - 2022 годы"</dc:title>
  <dcterms:created xsi:type="dcterms:W3CDTF">2026-05-21T09:03:32Z</dcterms:created>
</cp:coreProperties>
</file>